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321310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Beauty Health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p>
      <w:pPr>
        <w:spacing w:after="0" w:line="200" w:lineRule="exact"/>
        <w:rPr>
          <w:sz w:val="24"/>
          <w:szCs w:val="24"/>
          <w:color w:val="auto"/>
        </w:rPr>
      </w:pPr>
    </w:p>
    <w:p>
      <w:pPr>
        <w:spacing w:after="0" w:line="38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14"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001-39565</w:t>
      </w:r>
    </w:p>
    <w:p>
      <w:pPr>
        <w:spacing w:after="0" w:line="3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(Commission</w:t>
      </w: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85-1908962</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40" w:space="720"/>
            <w:col w:w="2480"/>
          </w:cols>
          <w:pgMar w:left="320" w:top="548"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2165 Spring Street</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Long Beach, CA</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90806</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(800) 603-4996</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240"/>
          </w:cols>
          <w:pgMar w:left="320" w:top="548" w:right="339" w:bottom="1440" w:gutter="0" w:footer="0" w:header="0"/>
          <w:type w:val="continuous"/>
        </w:sectPr>
      </w:pPr>
    </w:p>
    <w:p>
      <w:pPr>
        <w:spacing w:after="0" w:line="205" w:lineRule="exact"/>
        <w:rPr>
          <w:sz w:val="24"/>
          <w:szCs w:val="24"/>
          <w:color w:val="auto"/>
        </w:rPr>
      </w:pPr>
    </w:p>
    <w:p>
      <w:pPr>
        <w:ind w:right="720"/>
        <w:spacing w:after="0" w:line="296" w:lineRule="auto"/>
        <w:rPr>
          <w:sz w:val="20"/>
          <w:szCs w:val="20"/>
          <w:color w:val="auto"/>
        </w:rPr>
      </w:pPr>
      <w:r>
        <w:rPr>
          <w:rFonts w:ascii="Times New Roman" w:cs="Times New Roman" w:eastAsia="Times New Roman" w:hAnsi="Times New Roman"/>
          <w:sz w:val="17"/>
          <w:szCs w:val="17"/>
          <w:color w:val="auto"/>
        </w:rPr>
        <w:t>Check the appropriate box below if the Form 8-K is intended to simultaneously satisfy the filing obligation of the registrant under any of the following provisions:</w:t>
      </w:r>
    </w:p>
    <w:p>
      <w:pPr>
        <w:spacing w:after="0" w:line="146"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23"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23"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right="3240" w:firstLine="5"/>
        <w:spacing w:after="0" w:line="512" w:lineRule="auto"/>
        <w:tabs>
          <w:tab w:leader="none" w:pos="2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Trading</w:t>
            </w:r>
          </w:p>
        </w:tc>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229"/>
        </w:trPr>
        <w:tc>
          <w:tcPr>
            <w:tcW w:w="5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on which registered</w:t>
            </w:r>
          </w:p>
        </w:tc>
      </w:tr>
      <w:tr>
        <w:trPr>
          <w:trHeight w:val="223"/>
        </w:trPr>
        <w:tc>
          <w:tcPr>
            <w:tcW w:w="4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SKIN</w:t>
            </w:r>
          </w:p>
        </w:tc>
        <w:tc>
          <w:tcPr>
            <w:tcW w:w="100" w:type="dxa"/>
            <w:vAlign w:val="bottom"/>
          </w:tcPr>
          <w:p>
            <w:pPr>
              <w:spacing w:after="0"/>
              <w:rPr>
                <w:sz w:val="19"/>
                <w:szCs w:val="19"/>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Capital Market</w:t>
            </w:r>
          </w:p>
        </w:tc>
      </w:tr>
    </w:tbl>
    <w:p>
      <w:pPr>
        <w:spacing w:after="0" w:line="171" w:lineRule="exact"/>
        <w:rPr>
          <w:sz w:val="24"/>
          <w:szCs w:val="24"/>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2" w:lineRule="exact"/>
        <w:rPr>
          <w:sz w:val="24"/>
          <w:szCs w:val="24"/>
          <w:color w:val="auto"/>
        </w:rPr>
      </w:pPr>
    </w:p>
    <w:p>
      <w:pPr>
        <w:ind w:right="3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25" w:lineRule="exact"/>
        <w:rPr>
          <w:sz w:val="20"/>
          <w:szCs w:val="20"/>
          <w:color w:val="auto"/>
        </w:rPr>
      </w:pPr>
    </w:p>
    <w:p>
      <w:pPr>
        <w:ind w:right="60" w:firstLine="427"/>
        <w:spacing w:after="0" w:line="261" w:lineRule="auto"/>
        <w:rPr>
          <w:sz w:val="20"/>
          <w:szCs w:val="20"/>
          <w:color w:val="auto"/>
        </w:rPr>
      </w:pPr>
      <w:r>
        <w:rPr>
          <w:rFonts w:ascii="Times New Roman" w:cs="Times New Roman" w:eastAsia="Times New Roman" w:hAnsi="Times New Roman"/>
          <w:sz w:val="17"/>
          <w:szCs w:val="17"/>
          <w:color w:val="auto"/>
        </w:rPr>
        <w:t>On May 21, 2025, The Beauty Health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entered into privately negotiated exchange agreements (the “</w:t>
      </w:r>
      <w:r>
        <w:rPr>
          <w:rFonts w:ascii="Times New Roman" w:cs="Times New Roman" w:eastAsia="Times New Roman" w:hAnsi="Times New Roman"/>
          <w:sz w:val="17"/>
          <w:szCs w:val="17"/>
          <w:u w:val="single" w:color="auto"/>
          <w:color w:val="auto"/>
        </w:rPr>
        <w:t>Exchange Agreements</w:t>
      </w:r>
      <w:r>
        <w:rPr>
          <w:rFonts w:ascii="Times New Roman" w:cs="Times New Roman" w:eastAsia="Times New Roman" w:hAnsi="Times New Roman"/>
          <w:sz w:val="17"/>
          <w:szCs w:val="17"/>
          <w:color w:val="auto"/>
        </w:rPr>
        <w:t>”) with certain holders (the “</w:t>
      </w:r>
      <w:r>
        <w:rPr>
          <w:rFonts w:ascii="Times New Roman" w:cs="Times New Roman" w:eastAsia="Times New Roman" w:hAnsi="Times New Roman"/>
          <w:sz w:val="17"/>
          <w:szCs w:val="17"/>
          <w:u w:val="single" w:color="auto"/>
          <w:color w:val="auto"/>
        </w:rPr>
        <w:t>Exchanging Holders</w:t>
      </w:r>
      <w:r>
        <w:rPr>
          <w:rFonts w:ascii="Times New Roman" w:cs="Times New Roman" w:eastAsia="Times New Roman" w:hAnsi="Times New Roman"/>
          <w:sz w:val="17"/>
          <w:szCs w:val="17"/>
          <w:color w:val="auto"/>
        </w:rPr>
        <w:t>”) of the Company’s outstanding 1.25% convertible senior notes due 2026 (the “</w:t>
      </w:r>
      <w:r>
        <w:rPr>
          <w:rFonts w:ascii="Times New Roman" w:cs="Times New Roman" w:eastAsia="Times New Roman" w:hAnsi="Times New Roman"/>
          <w:sz w:val="17"/>
          <w:szCs w:val="17"/>
          <w:u w:val="single" w:color="auto"/>
          <w:color w:val="auto"/>
        </w:rPr>
        <w:t>Existing Notes</w:t>
      </w:r>
      <w:r>
        <w:rPr>
          <w:rFonts w:ascii="Times New Roman" w:cs="Times New Roman" w:eastAsia="Times New Roman" w:hAnsi="Times New Roman"/>
          <w:sz w:val="17"/>
          <w:szCs w:val="17"/>
          <w:color w:val="auto"/>
        </w:rPr>
        <w:t>”). The Existing Notes were issued pursuant to, and are governed by, an indenture (the “</w:t>
      </w:r>
      <w:r>
        <w:rPr>
          <w:rFonts w:ascii="Times New Roman" w:cs="Times New Roman" w:eastAsia="Times New Roman" w:hAnsi="Times New Roman"/>
          <w:sz w:val="17"/>
          <w:szCs w:val="17"/>
          <w:u w:val="single" w:color="auto"/>
          <w:color w:val="auto"/>
        </w:rPr>
        <w:t>Existing Notes Indenture</w:t>
      </w:r>
      <w:r>
        <w:rPr>
          <w:rFonts w:ascii="Times New Roman" w:cs="Times New Roman" w:eastAsia="Times New Roman" w:hAnsi="Times New Roman"/>
          <w:sz w:val="17"/>
          <w:szCs w:val="17"/>
          <w:color w:val="auto"/>
        </w:rPr>
        <w:t>”), dated as of September 14, 2021, between the Company and U.S. Bank Trust Company, National Association (as successor to U.S. National Bank Association, as trustee). Pursuant to the Exchange Agreements, the Company will exchange approximately $413.2 million aggregate principal amount of the Existing Notes for $250.0 million of new 7.95% convertible senior secured notes due 2028 (the “</w:t>
      </w:r>
      <w:r>
        <w:rPr>
          <w:rFonts w:ascii="Times New Roman" w:cs="Times New Roman" w:eastAsia="Times New Roman" w:hAnsi="Times New Roman"/>
          <w:sz w:val="17"/>
          <w:szCs w:val="17"/>
          <w:u w:val="single" w:color="auto"/>
          <w:color w:val="auto"/>
        </w:rPr>
        <w:t>New Notes</w:t>
      </w:r>
      <w:r>
        <w:rPr>
          <w:rFonts w:ascii="Times New Roman" w:cs="Times New Roman" w:eastAsia="Times New Roman" w:hAnsi="Times New Roman"/>
          <w:sz w:val="17"/>
          <w:szCs w:val="17"/>
          <w:color w:val="auto"/>
        </w:rPr>
        <w:t>”), and an aggregate of approximately $143.4 million in cash, including accrued and unpaid interest on such Existing Notes (the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The New Notes have not been, and will not be,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any other securities laws, and the New Notes and the shares of the Company’s Class A Common Stock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issuable upon conversion of the New Notes will not be offered or sold except pursuant to an effective registration statement or pursuant to an exemption from, or in a transaction not subject to, the registration requirements of the Securities Act. The New Notes will be issued pursuant to an indenture, in substantially the form attached to the Exchange Agreements.</w:t>
      </w:r>
    </w:p>
    <w:p>
      <w:pPr>
        <w:spacing w:after="0" w:line="386" w:lineRule="exact"/>
        <w:rPr>
          <w:sz w:val="20"/>
          <w:szCs w:val="20"/>
          <w:color w:val="auto"/>
        </w:rPr>
      </w:pPr>
    </w:p>
    <w:p>
      <w:pPr>
        <w:ind w:right="20" w:firstLine="427"/>
        <w:spacing w:after="0" w:line="264" w:lineRule="auto"/>
        <w:rPr>
          <w:sz w:val="20"/>
          <w:szCs w:val="20"/>
          <w:color w:val="auto"/>
        </w:rPr>
      </w:pPr>
      <w:r>
        <w:rPr>
          <w:rFonts w:ascii="Times New Roman" w:cs="Times New Roman" w:eastAsia="Times New Roman" w:hAnsi="Times New Roman"/>
          <w:sz w:val="17"/>
          <w:szCs w:val="17"/>
          <w:color w:val="auto"/>
        </w:rPr>
        <w:t>The New Notes will be senior, secured obligations of the Company, will be guaranteed by certain of the Company’s subsidiaries (including the Company’s material domestic, wholly-owned subsidiaries), and will accrue interest at a rate of 7.95% per annum. Subject to certain restrictions, noteholders may convert their New Notes at any time at their election until the close of business on the second scheduled trading day immediately before the maturity date. The initial conversion rate is 349.6503 shares of common stock per $1,000 principal amount of New Notes, which represents an initial conversion price of approximately $2.86 per share of Common Stock. The conversion rate and conversion price will be subject to adjustment upon the occurrence of certain events. The Company expects to settle the Exchange on or about May 27, 2025.</w:t>
      </w:r>
    </w:p>
    <w:p>
      <w:pPr>
        <w:spacing w:after="0" w:line="175" w:lineRule="exact"/>
        <w:rPr>
          <w:sz w:val="20"/>
          <w:szCs w:val="20"/>
          <w:color w:val="auto"/>
        </w:rPr>
      </w:pPr>
    </w:p>
    <w:p>
      <w:pPr>
        <w:ind w:right="240" w:firstLine="427"/>
        <w:spacing w:after="0" w:line="296" w:lineRule="auto"/>
        <w:rPr>
          <w:sz w:val="20"/>
          <w:szCs w:val="20"/>
          <w:color w:val="auto"/>
        </w:rPr>
      </w:pPr>
      <w:r>
        <w:rPr>
          <w:rFonts w:ascii="Times New Roman" w:cs="Times New Roman" w:eastAsia="Times New Roman" w:hAnsi="Times New Roman"/>
          <w:sz w:val="17"/>
          <w:szCs w:val="17"/>
          <w:color w:val="auto"/>
        </w:rPr>
        <w:t>The indenture for the New Notes will contain a number of restrictive covenants and limitations, including restrictions on the Company’s ability to incur certain indebtedness and other limitations on liens, investments and restricted payments, as further described in the indenture for the New Notes.</w:t>
      </w:r>
    </w:p>
    <w:p>
      <w:pPr>
        <w:spacing w:after="0" w:line="146" w:lineRule="exact"/>
        <w:rPr>
          <w:sz w:val="20"/>
          <w:szCs w:val="20"/>
          <w:color w:val="auto"/>
        </w:rPr>
      </w:pPr>
    </w:p>
    <w:p>
      <w:pPr>
        <w:ind w:right="220" w:firstLine="427"/>
        <w:spacing w:after="0" w:line="270" w:lineRule="auto"/>
        <w:rPr>
          <w:sz w:val="20"/>
          <w:szCs w:val="20"/>
          <w:color w:val="auto"/>
        </w:rPr>
      </w:pPr>
      <w:r>
        <w:rPr>
          <w:rFonts w:ascii="Times New Roman" w:cs="Times New Roman" w:eastAsia="Times New Roman" w:hAnsi="Times New Roman"/>
          <w:sz w:val="17"/>
          <w:szCs w:val="17"/>
          <w:color w:val="auto"/>
        </w:rPr>
        <w:t>The obligations of the Company and the Exchanging Holders to consummate the closing of the transactions contemplated by the Exchange Agreements are subject to certain conditions, including, among others: (a) the accuracy of the representations and warranties (subject to certain materiality qualifications) made by the Company and the Exchanging Holders, (b) the performance in all material respects of all obligations and covenants of the Company and the Exchanging Holders, and (c) the payment of fees and expenses.</w:t>
      </w:r>
    </w:p>
    <w:p>
      <w:pPr>
        <w:spacing w:after="0" w:line="167" w:lineRule="exact"/>
        <w:rPr>
          <w:sz w:val="20"/>
          <w:szCs w:val="20"/>
          <w:color w:val="auto"/>
        </w:rPr>
      </w:pPr>
    </w:p>
    <w:p>
      <w:pPr>
        <w:ind w:firstLine="427"/>
        <w:spacing w:after="0" w:line="266" w:lineRule="auto"/>
        <w:rPr>
          <w:sz w:val="20"/>
          <w:szCs w:val="20"/>
          <w:color w:val="auto"/>
        </w:rPr>
      </w:pPr>
      <w:r>
        <w:rPr>
          <w:rFonts w:ascii="Times New Roman" w:cs="Times New Roman" w:eastAsia="Times New Roman" w:hAnsi="Times New Roman"/>
          <w:sz w:val="17"/>
          <w:szCs w:val="17"/>
          <w:color w:val="auto"/>
        </w:rPr>
        <w:t>The Exchange Agreements may be terminated under certain circumstances (subject to the survival of certain provisions), including, among others, (a) with the mutual written consent of the parties to each Exchange, (b) the breach of any representations, warranties or covenants of a party to the Exchange Agreement (upon written notice of the non-breaching party), (c) the occurrence of a Material Adverse Change (as defined in the Exchange Agreements), (d) the voluntary commencement of a case seeking relief under Title 11 of the United States Code entitled “Bankruptcy”, or (e) if the closing of the transaction has not occurred by June 4, 2025.</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Exchange Agreements also include customary representations, warranties and covenants, in each case, subject to customary and other qualifiers.</w:t>
      </w:r>
    </w:p>
    <w:p>
      <w:pPr>
        <w:spacing w:after="0" w:line="223" w:lineRule="exact"/>
        <w:rPr>
          <w:sz w:val="20"/>
          <w:szCs w:val="20"/>
          <w:color w:val="auto"/>
        </w:rPr>
      </w:pPr>
    </w:p>
    <w:p>
      <w:pPr>
        <w:ind w:right="20" w:firstLine="427"/>
        <w:spacing w:after="0" w:line="276" w:lineRule="auto"/>
        <w:rPr>
          <w:sz w:val="20"/>
          <w:szCs w:val="20"/>
          <w:color w:val="auto"/>
        </w:rPr>
      </w:pPr>
      <w:r>
        <w:rPr>
          <w:rFonts w:ascii="Times New Roman" w:cs="Times New Roman" w:eastAsia="Times New Roman" w:hAnsi="Times New Roman"/>
          <w:sz w:val="17"/>
          <w:szCs w:val="17"/>
          <w:color w:val="auto"/>
        </w:rPr>
        <w:t>The foregoing description of the Exchange Agreements, the New Notes and the transactions contemplated thereby are a summary and is not complete. A copy of a Form of the Exchange Agreement, which includes as an exhibit the form of indenture pursuant to which the New Notes are being issued, is attached as Exhibit 10.1 to this Current Report on Form 8-K (the “</w:t>
      </w:r>
      <w:r>
        <w:rPr>
          <w:rFonts w:ascii="Times New Roman" w:cs="Times New Roman" w:eastAsia="Times New Roman" w:hAnsi="Times New Roman"/>
          <w:sz w:val="17"/>
          <w:szCs w:val="17"/>
          <w:u w:val="single" w:color="auto"/>
          <w:color w:val="auto"/>
        </w:rPr>
        <w:t>Current Report</w:t>
      </w:r>
      <w:r>
        <w:rPr>
          <w:rFonts w:ascii="Times New Roman" w:cs="Times New Roman" w:eastAsia="Times New Roman" w:hAnsi="Times New Roman"/>
          <w:sz w:val="17"/>
          <w:szCs w:val="17"/>
          <w:color w:val="auto"/>
        </w:rPr>
        <w:t>”)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27" w:lineRule="exact"/>
        <w:rPr>
          <w:sz w:val="20"/>
          <w:szCs w:val="20"/>
          <w:color w:val="auto"/>
        </w:rPr>
      </w:pPr>
    </w:p>
    <w:p>
      <w:pPr>
        <w:ind w:right="20" w:firstLine="471"/>
        <w:spacing w:after="0" w:line="261" w:lineRule="auto"/>
        <w:rPr>
          <w:sz w:val="20"/>
          <w:szCs w:val="20"/>
          <w:color w:val="auto"/>
        </w:rPr>
      </w:pPr>
      <w:r>
        <w:rPr>
          <w:rFonts w:ascii="Times New Roman" w:cs="Times New Roman" w:eastAsia="Times New Roman" w:hAnsi="Times New Roman"/>
          <w:sz w:val="17"/>
          <w:szCs w:val="17"/>
          <w:color w:val="auto"/>
        </w:rPr>
        <w:t>This Current Report contains forward-looking statements within the meaning of the Private Securities Litigation Reform Act of 1995, including statements relating to the expected settlement of the Exchange. Forward-looking statements are subject to risks and uncertainties that could cause actual results to differ materially, and reported results should not be considered as an indication of future performance. Important factors that may affect actual results or outcomes include, but are not limited to: risks related to whether the Company will be able to satisfy the conditions required to close the transaction; the potential impact of market and other general economic conditions; the ability of the Company to successfully execute its business plan and achieve the intended benefits thereof; the Company’s failure to manage growth effectively; the Company’s failure to fully realize the anticipated benefits of the transaction; and other risks and uncertainties set forth in the Company’s Annual Report on Form 10-K for the year ended December 31, 2024 filed with the U.S. Securities and Exchange Commission (the “SEC”) on March 12, 2025, and in the Company’s subsequent filings with the SEC. These forward-looking statements speak only as of the date hereof, and the Company disclaims any obligation to update these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color w:val="auto"/>
        </w:rPr>
        <w:t>No Offer or Solicitation</w:t>
      </w:r>
    </w:p>
    <w:p>
      <w:pPr>
        <w:spacing w:after="0" w:line="225" w:lineRule="exact"/>
        <w:rPr>
          <w:sz w:val="20"/>
          <w:szCs w:val="20"/>
          <w:color w:val="auto"/>
        </w:rPr>
      </w:pPr>
    </w:p>
    <w:p>
      <w:pPr>
        <w:ind w:firstLine="471"/>
        <w:spacing w:after="0" w:line="264" w:lineRule="auto"/>
        <w:rPr>
          <w:sz w:val="20"/>
          <w:szCs w:val="20"/>
          <w:color w:val="auto"/>
        </w:rPr>
      </w:pPr>
      <w:r>
        <w:rPr>
          <w:rFonts w:ascii="Times New Roman" w:cs="Times New Roman" w:eastAsia="Times New Roman" w:hAnsi="Times New Roman"/>
          <w:sz w:val="17"/>
          <w:szCs w:val="17"/>
          <w:color w:val="auto"/>
        </w:rPr>
        <w:t>None of this Current Report nor the exhibits attached hereto constitutes an offer to sell, or a solicitation of an offer to buy, the New Notes and related guarantees, the Existing Notes or any other securities, nor shall there be any sale of the New Notes and related guarantees, the Existing Notes or any other securities in any jurisdiction in which such offer, solicitation or sale would be unlawful prior to the registration or qualification under the securities laws of any such jurisdiction. The New Notes and the related guarantees have not been, and will not be, registered under the Securities Act, or any other securities laws, and the New Notes and the shares of the Company’s Common Stock issuable upon conversion of the New Notes will not be offered or sold except pursuant to an effective registration statement or pursuant to an exemption from, or in a transaction not subject to, the registration requirements of the Securities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3.02. Unregistered Sales of Equity Securities.</w:t>
      </w:r>
    </w:p>
    <w:p>
      <w:pPr>
        <w:spacing w:after="0" w:line="225" w:lineRule="exact"/>
        <w:rPr>
          <w:sz w:val="20"/>
          <w:szCs w:val="20"/>
          <w:color w:val="auto"/>
        </w:rPr>
      </w:pPr>
    </w:p>
    <w:p>
      <w:pPr>
        <w:ind w:right="200" w:firstLine="471"/>
        <w:spacing w:after="0" w:line="296" w:lineRule="auto"/>
        <w:rPr>
          <w:sz w:val="20"/>
          <w:szCs w:val="20"/>
          <w:color w:val="auto"/>
        </w:rPr>
      </w:pPr>
      <w:r>
        <w:rPr>
          <w:rFonts w:ascii="Times New Roman" w:cs="Times New Roman" w:eastAsia="Times New Roman" w:hAnsi="Times New Roman"/>
          <w:sz w:val="17"/>
          <w:szCs w:val="17"/>
          <w:color w:val="auto"/>
        </w:rPr>
        <w:t>The information contained in Item 1.01 of this Current Report on Form 8-K regarding the Exchange is incorporated by reference into this Item 3.02 of this Current Report to the extent required.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25" w:lineRule="exact"/>
        <w:rPr>
          <w:sz w:val="20"/>
          <w:szCs w:val="20"/>
          <w:color w:val="auto"/>
        </w:rPr>
      </w:pPr>
    </w:p>
    <w:p>
      <w:pPr>
        <w:ind w:right="520" w:firstLine="427"/>
        <w:spacing w:after="0" w:line="296" w:lineRule="auto"/>
        <w:rPr>
          <w:sz w:val="20"/>
          <w:szCs w:val="20"/>
          <w:color w:val="auto"/>
        </w:rPr>
      </w:pPr>
      <w:r>
        <w:rPr>
          <w:rFonts w:ascii="Times New Roman" w:cs="Times New Roman" w:eastAsia="Times New Roman" w:hAnsi="Times New Roman"/>
          <w:sz w:val="17"/>
          <w:szCs w:val="17"/>
          <w:color w:val="auto"/>
        </w:rPr>
        <w:t>On May 21, 2025, the Company issued a press release announcing the transactions contemplated by the Exchange Agreements, a copy of which is attached as Exhibit 99.1 to this Current Report and is incorporated herein by reference.</w:t>
      </w:r>
    </w:p>
    <w:p>
      <w:pPr>
        <w:spacing w:after="0" w:line="1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The information set forth under Item 7.01 of this Current Report, including Exhibit 99.1 attached hereto, is being furnished and shall not be deemed “filed” for purposes of Section 18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or otherwise subject to the liabilities of such section. The information in Item 7.01 of this Current Report, including Exhibit 99.1, shall not be incorporated by reference into any filing under the Securities Act or the Exchange Act, regardless of any incorporation by reference language in any such filing, except as expressly set forth by specific reference in such a filing. This Current Report will not be deemed an admission as to the materiality of any information in this Current Report that is required to be disclosed solely by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w:t>
            </w:r>
          </w:p>
        </w:tc>
        <w:tc>
          <w:tcPr>
            <w:tcW w:w="55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tc>
      </w:tr>
      <w:tr>
        <w:trPr>
          <w:trHeight w:val="401"/>
        </w:trPr>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55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8"/>
        </w:trPr>
        <w:tc>
          <w:tcPr>
            <w:tcW w:w="15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w:t>
            </w:r>
          </w:p>
        </w:tc>
        <w:tc>
          <w:tcPr>
            <w:tcW w:w="2120" w:type="dxa"/>
            <w:vAlign w:val="bottom"/>
            <w:tcBorders>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EE"/>
              </w:rPr>
              <w:t>Form of Exchange Agreement</w:t>
            </w:r>
          </w:p>
        </w:tc>
        <w:tc>
          <w:tcPr>
            <w:tcW w:w="3460" w:type="dxa"/>
            <w:vAlign w:val="bottom"/>
            <w:gridSpan w:val="2"/>
          </w:tcPr>
          <w:p>
            <w:pPr>
              <w:spacing w:after="0"/>
              <w:rPr>
                <w:sz w:val="16"/>
                <w:szCs w:val="16"/>
                <w:color w:val="auto"/>
              </w:rPr>
            </w:pPr>
          </w:p>
        </w:tc>
      </w:tr>
      <w:tr>
        <w:trPr>
          <w:trHeight w:val="189"/>
        </w:trPr>
        <w:tc>
          <w:tcPr>
            <w:tcW w:w="15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99.1</w:t>
            </w:r>
          </w:p>
        </w:tc>
        <w:tc>
          <w:tcPr>
            <w:tcW w:w="24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rPr>
              <w:t>Press Release, dated May 21, 2025</w:t>
            </w:r>
          </w:p>
        </w:tc>
        <w:tc>
          <w:tcPr>
            <w:tcW w:w="3140" w:type="dxa"/>
            <w:vAlign w:val="bottom"/>
          </w:tcPr>
          <w:p>
            <w:pPr>
              <w:spacing w:after="0"/>
              <w:rPr>
                <w:sz w:val="16"/>
                <w:szCs w:val="16"/>
                <w:color w:val="auto"/>
              </w:rPr>
            </w:pPr>
          </w:p>
        </w:tc>
      </w:tr>
      <w:tr>
        <w:trPr>
          <w:trHeight w:val="228"/>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5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160"/>
          </w:cols>
          <w:pgMar w:left="320" w:top="983" w:right="419" w:bottom="1440" w:gutter="0" w:footer="0" w:header="0"/>
        </w:sectPr>
      </w:pPr>
    </w:p>
    <w:bookmarkStart w:id="3" w:name="page4"/>
    <w:bookmarkEnd w:id="3"/>
    <w:p>
      <w:pPr>
        <w:jc w:val="center"/>
        <w:ind w:right="-8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5" w:lineRule="exact"/>
        <w:rPr>
          <w:sz w:val="20"/>
          <w:szCs w:val="20"/>
          <w:color w:val="auto"/>
        </w:rPr>
      </w:pPr>
    </w:p>
    <w:p>
      <w:pPr>
        <w:ind w:firstLine="427"/>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Date: May 21, 2025</w:t>
      </w:r>
      <w:r>
        <w:rPr>
          <w:sz w:val="20"/>
          <w:szCs w:val="20"/>
          <w:color w:val="auto"/>
        </w:rPr>
        <w:tab/>
      </w:r>
      <w:r>
        <w:rPr>
          <w:rFonts w:ascii="Times New Roman" w:cs="Times New Roman" w:eastAsia="Times New Roman" w:hAnsi="Times New Roman"/>
          <w:sz w:val="17"/>
          <w:szCs w:val="17"/>
          <w:b w:val="1"/>
          <w:bCs w:val="1"/>
          <w:color w:val="auto"/>
        </w:rPr>
        <w:t>The Beauty Health Company</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 Michael Monahan</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-123190</wp:posOffset>
            </wp:positionV>
            <wp:extent cx="392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21125"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380"/>
          </w:cols>
          <w:pgMar w:left="320" w:top="773" w:right="1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Beauty Health Company</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Exchange Agreement</w:t>
      </w:r>
    </w:p>
    <w:p>
      <w:pPr>
        <w:spacing w:after="0" w:line="2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May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2879725</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139"/>
          </w:cols>
          <w:pgMar w:left="320" w:top="11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0" w:type="dxa"/>
            <w:vAlign w:val="bottom"/>
          </w:tcPr>
          <w:p>
            <w:pPr>
              <w:ind w:left="40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6"/>
              </w:rPr>
              <w:t>Page</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Section 1.</w:t>
            </w:r>
          </w:p>
        </w:tc>
        <w:tc>
          <w:tcPr>
            <w:tcW w:w="10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14"/>
        </w:trPr>
        <w:tc>
          <w:tcPr>
            <w:tcW w:w="10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2.  Rules of Construction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Section 3.</w:t>
            </w:r>
          </w:p>
        </w:tc>
        <w:tc>
          <w:tcPr>
            <w:tcW w:w="10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Exchange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4"/>
              </w:rPr>
              <w:t>(a)</w:t>
            </w:r>
          </w:p>
        </w:tc>
        <w:tc>
          <w:tcPr>
            <w:tcW w:w="80" w:type="dxa"/>
            <w:vAlign w:val="bottom"/>
          </w:tcPr>
          <w:p>
            <w:pPr>
              <w:spacing w:after="0"/>
              <w:rPr>
                <w:sz w:val="18"/>
                <w:szCs w:val="18"/>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Generally</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7"/>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(b)</w:t>
            </w: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Closing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96"/>
        </w:trPr>
        <w:tc>
          <w:tcPr>
            <w:tcW w:w="10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4.  Representations, Warranties and Covenants of the Company and the Guarantors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(a)  Due Formation, Valid Existence and Good Standing; Power to Perform Obligations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9"/>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(b)</w:t>
            </w: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Solvency</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(c)  Delivery Free of Liens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(d)  Listing of Common Stock</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4"/>
              </w:rPr>
              <w:t>(e)</w:t>
            </w:r>
          </w:p>
        </w:tc>
        <w:tc>
          <w:tcPr>
            <w:tcW w:w="80" w:type="dxa"/>
            <w:vAlign w:val="bottom"/>
          </w:tcPr>
          <w:p>
            <w:pPr>
              <w:spacing w:after="0"/>
              <w:rPr>
                <w:sz w:val="18"/>
                <w:szCs w:val="18"/>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Securities Act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(f)  Enforceability of New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(g)  Enforceability of New Note Guarantees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(h)  Enforceability of New Notes Indenture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99"/>
              </w:rPr>
              <w:t>(i)</w:t>
            </w:r>
          </w:p>
        </w:tc>
        <w:tc>
          <w:tcPr>
            <w:tcW w:w="8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Security Documents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(j)  Common Stock Issuable Upon Conversion of New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(k)  Commercially Reasonable Efforts In Connection With Conversion of New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99"/>
              </w:rPr>
              <w:t>(l)</w:t>
            </w:r>
          </w:p>
        </w:tc>
        <w:tc>
          <w:tcPr>
            <w:tcW w:w="8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Trust Indenture Act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w w:val="97"/>
              </w:rPr>
              <w:t>(m)</w:t>
            </w:r>
          </w:p>
        </w:tc>
        <w:tc>
          <w:tcPr>
            <w:tcW w:w="10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(n)</w:t>
            </w: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 Consents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(o)  Authorization, Execution and Delivery of this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w:t>
            </w: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Investment Company Act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(q)  Required Filings; Accuracy of Covered SEC Filings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93"/>
              </w:rPr>
              <w:t>(r)</w:t>
            </w:r>
          </w:p>
        </w:tc>
        <w:tc>
          <w:tcPr>
            <w:tcW w:w="80" w:type="dxa"/>
            <w:vAlign w:val="bottom"/>
          </w:tcPr>
          <w:p>
            <w:pPr>
              <w:spacing w:after="0"/>
              <w:rPr>
                <w:sz w:val="18"/>
                <w:szCs w:val="18"/>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Expenses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(s)  Capitalization and Other Capital Stock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(t)  No Material Adverse 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(u)  No Disclosure of Material Non-Public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7"/>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(v)  [Materially Similar Terms and Conditions]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96"/>
        </w:trPr>
        <w:tc>
          <w:tcPr>
            <w:tcW w:w="10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5.  Representations, Warranties and Covenants of the Investor and the Exchanging Investors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(a)  Due Formation, Valid Existence and Good Standing; Authorization, Execution and Delivery of this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(b)  Power to Perform Obligations and Bind Accounts; Survival of Authority</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(c)  Ownership of Existing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(d)  Passage of Good Title; No Liens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4"/>
              </w:rPr>
              <w:t>(e)</w:t>
            </w:r>
          </w:p>
        </w:tc>
        <w:tc>
          <w:tcPr>
            <w:tcW w:w="80" w:type="dxa"/>
            <w:vAlign w:val="bottom"/>
          </w:tcPr>
          <w:p>
            <w:pPr>
              <w:spacing w:after="0"/>
              <w:rPr>
                <w:sz w:val="18"/>
                <w:szCs w:val="18"/>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93"/>
              </w:rPr>
              <w:t>(f)</w:t>
            </w:r>
          </w:p>
        </w:tc>
        <w:tc>
          <w:tcPr>
            <w:tcW w:w="80" w:type="dxa"/>
            <w:vAlign w:val="bottom"/>
          </w:tcPr>
          <w:p>
            <w:pPr>
              <w:spacing w:after="0"/>
              <w:rPr>
                <w:sz w:val="18"/>
                <w:szCs w:val="18"/>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Jurisdiction of Residence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(g)  Compliance with Certain Laws; No Consents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(h)  Acknowledgement of Risks; Investment Sophistication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(i)  No View to Distribution; No Registration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99"/>
              </w:rPr>
              <w:t>(j)</w:t>
            </w:r>
          </w:p>
        </w:tc>
        <w:tc>
          <w:tcPr>
            <w:tcW w:w="8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Information Provided</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(k)  No Investment, Tax or Other Advice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99"/>
              </w:rPr>
              <w:t>(l)</w:t>
            </w:r>
          </w:p>
        </w:tc>
        <w:tc>
          <w:tcPr>
            <w:tcW w:w="8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Decision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w w:val="97"/>
              </w:rPr>
              <w:t>(m)</w:t>
            </w:r>
          </w:p>
        </w:tc>
        <w:tc>
          <w:tcPr>
            <w:tcW w:w="10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Due Diligence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(n)  No Regulatory Agency Recommendation or Approval</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(o)  Qualified Institutional Buyer Status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w:t>
            </w: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Mutual Negotiation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9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(q)</w:t>
            </w:r>
          </w:p>
        </w:tc>
        <w:tc>
          <w:tcPr>
            <w:tcW w:w="10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Financial Adviser Fee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(r)  Bring-Down of Representations and Warranties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8"/>
              </w:rPr>
              <w:t>(s)</w:t>
            </w:r>
          </w:p>
        </w:tc>
        <w:tc>
          <w:tcPr>
            <w:tcW w:w="80" w:type="dxa"/>
            <w:vAlign w:val="bottom"/>
          </w:tcPr>
          <w:p>
            <w:pPr>
              <w:spacing w:after="0"/>
              <w:rPr>
                <w:sz w:val="18"/>
                <w:szCs w:val="18"/>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Settlement Instructions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99"/>
              </w:rPr>
              <w:t>(t)</w:t>
            </w:r>
          </w:p>
        </w:tc>
        <w:tc>
          <w:tcPr>
            <w:tcW w:w="8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Wall-Cross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7"/>
        </w:trPr>
        <w:tc>
          <w:tcPr>
            <w:tcW w:w="10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(u)  No Reliance on GS; Related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9"/>
        </w:trPr>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6.  Conditions to Obligations of the Parties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9"/>
        </w:trPr>
        <w:tc>
          <w:tcPr>
            <w:tcW w:w="580" w:type="dxa"/>
            <w:vAlign w:val="bottom"/>
          </w:tcPr>
          <w:p>
            <w:pPr>
              <w:spacing w:after="0"/>
              <w:rPr>
                <w:sz w:val="18"/>
                <w:szCs w:val="18"/>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  Conditions to the Company’s Obligations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7"/>
        </w:trPr>
        <w:tc>
          <w:tcPr>
            <w:tcW w:w="580" w:type="dxa"/>
            <w:vAlign w:val="bottom"/>
          </w:tcPr>
          <w:p>
            <w:pPr>
              <w:spacing w:after="0"/>
              <w:rPr>
                <w:sz w:val="19"/>
                <w:szCs w:val="19"/>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(b)  Conditions to the Investor’s Obligations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14"/>
        </w:trPr>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7.  The Release Time</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96"/>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8.</w:t>
            </w:r>
          </w:p>
        </w:tc>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Termination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9"/>
        </w:trPr>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4"/>
              </w:rPr>
              <w:t>(a)</w:t>
            </w:r>
          </w:p>
        </w:tc>
        <w:tc>
          <w:tcPr>
            <w:tcW w:w="6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Termination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7"/>
        </w:trPr>
        <w:tc>
          <w:tcPr>
            <w:tcW w:w="580" w:type="dxa"/>
            <w:vAlign w:val="bottom"/>
          </w:tcPr>
          <w:p>
            <w:pPr>
              <w:spacing w:after="0"/>
              <w:rPr>
                <w:sz w:val="19"/>
                <w:szCs w:val="19"/>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w:t>
            </w: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Survival</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96"/>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Indemnity</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9"/>
        </w:trPr>
        <w:tc>
          <w:tcPr>
            <w:tcW w:w="580" w:type="dxa"/>
            <w:vAlign w:val="bottom"/>
          </w:tcPr>
          <w:p>
            <w:pPr>
              <w:spacing w:after="0"/>
              <w:rPr>
                <w:sz w:val="18"/>
                <w:szCs w:val="18"/>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  Indemnity and Hold Harmless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7"/>
        </w:trPr>
        <w:tc>
          <w:tcPr>
            <w:tcW w:w="580" w:type="dxa"/>
            <w:vAlign w:val="bottom"/>
          </w:tcPr>
          <w:p>
            <w:pPr>
              <w:spacing w:after="0"/>
              <w:rPr>
                <w:sz w:val="19"/>
                <w:szCs w:val="19"/>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w:t>
            </w: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Limitation on Liability</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96"/>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w:t>
            </w:r>
          </w:p>
        </w:tc>
        <w:tc>
          <w:tcPr>
            <w:tcW w:w="60" w:type="dxa"/>
            <w:vAlign w:val="bottom"/>
          </w:tcPr>
          <w:p>
            <w:pPr>
              <w:spacing w:after="0"/>
              <w:rPr>
                <w:sz w:val="24"/>
                <w:szCs w:val="24"/>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Miscellaneous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9"/>
        </w:trPr>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4"/>
              </w:rPr>
              <w:t>(a)</w:t>
            </w:r>
          </w:p>
        </w:tc>
        <w:tc>
          <w:tcPr>
            <w:tcW w:w="6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Waiver; Amendment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9"/>
        </w:trPr>
        <w:tc>
          <w:tcPr>
            <w:tcW w:w="5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w:t>
            </w: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Assignability</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9"/>
        </w:trPr>
        <w:tc>
          <w:tcPr>
            <w:tcW w:w="580" w:type="dxa"/>
            <w:vAlign w:val="bottom"/>
          </w:tcPr>
          <w:p>
            <w:pPr>
              <w:spacing w:after="0"/>
              <w:rPr>
                <w:sz w:val="18"/>
                <w:szCs w:val="18"/>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  Further Instruments and Acts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9"/>
        </w:trPr>
        <w:tc>
          <w:tcPr>
            <w:tcW w:w="580" w:type="dxa"/>
            <w:vAlign w:val="bottom"/>
          </w:tcPr>
          <w:p>
            <w:pPr>
              <w:spacing w:after="0"/>
              <w:rPr>
                <w:sz w:val="18"/>
                <w:szCs w:val="18"/>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  Waiver of Jury Trial</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9"/>
        </w:trPr>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4"/>
              </w:rPr>
              <w:t>(e)</w:t>
            </w:r>
          </w:p>
        </w:tc>
        <w:tc>
          <w:tcPr>
            <w:tcW w:w="6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Governing Law; Jurisdiction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9"/>
        </w:trPr>
        <w:tc>
          <w:tcPr>
            <w:tcW w:w="580" w:type="dxa"/>
            <w:vAlign w:val="bottom"/>
          </w:tcPr>
          <w:p>
            <w:pPr>
              <w:spacing w:after="0"/>
              <w:rPr>
                <w:sz w:val="18"/>
                <w:szCs w:val="18"/>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(f)  Section and Other Headings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9"/>
        </w:trPr>
        <w:tc>
          <w:tcPr>
            <w:tcW w:w="5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(g)</w:t>
            </w: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Counterparts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9"/>
        </w:trPr>
        <w:tc>
          <w:tcPr>
            <w:tcW w:w="5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(h)</w:t>
            </w: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9"/>
        </w:trPr>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(i)</w:t>
            </w:r>
          </w:p>
        </w:tc>
        <w:tc>
          <w:tcPr>
            <w:tcW w:w="60" w:type="dxa"/>
            <w:vAlign w:val="bottom"/>
          </w:tcPr>
          <w:p>
            <w:pPr>
              <w:spacing w:after="0"/>
              <w:rPr>
                <w:sz w:val="18"/>
                <w:szCs w:val="18"/>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Binding Effect</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9"/>
        </w:trPr>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(j)</w:t>
            </w:r>
          </w:p>
        </w:tc>
        <w:tc>
          <w:tcPr>
            <w:tcW w:w="60" w:type="dxa"/>
            <w:vAlign w:val="bottom"/>
          </w:tcPr>
          <w:p>
            <w:pPr>
              <w:spacing w:after="0"/>
              <w:rPr>
                <w:sz w:val="18"/>
                <w:szCs w:val="18"/>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Notification of Changes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9"/>
        </w:trPr>
        <w:tc>
          <w:tcPr>
            <w:tcW w:w="5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(k)</w:t>
            </w: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Severability</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9"/>
        </w:trPr>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(l)</w:t>
            </w:r>
          </w:p>
        </w:tc>
        <w:tc>
          <w:tcPr>
            <w:tcW w:w="60" w:type="dxa"/>
            <w:vAlign w:val="bottom"/>
          </w:tcPr>
          <w:p>
            <w:pPr>
              <w:spacing w:after="0"/>
              <w:rPr>
                <w:sz w:val="18"/>
                <w:szCs w:val="18"/>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Entire Agreement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9"/>
        </w:trPr>
        <w:tc>
          <w:tcPr>
            <w:tcW w:w="580" w:type="dxa"/>
            <w:vAlign w:val="bottom"/>
          </w:tcPr>
          <w:p>
            <w:pPr>
              <w:spacing w:after="0"/>
              <w:rPr>
                <w:sz w:val="18"/>
                <w:szCs w:val="18"/>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(m)  Reliance by GS; Third Party Beneficiary</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7"/>
        </w:trPr>
        <w:tc>
          <w:tcPr>
            <w:tcW w:w="580" w:type="dxa"/>
            <w:vAlign w:val="bottom"/>
          </w:tcPr>
          <w:p>
            <w:pPr>
              <w:spacing w:after="0"/>
              <w:rPr>
                <w:sz w:val="19"/>
                <w:szCs w:val="19"/>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w:t>
            </w:r>
          </w:p>
        </w:tc>
        <w:tc>
          <w:tcPr>
            <w:tcW w:w="6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Additional Documentation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314"/>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11.</w:t>
            </w:r>
          </w:p>
        </w:tc>
        <w:tc>
          <w:tcPr>
            <w:tcW w:w="60" w:type="dxa"/>
            <w:vAlign w:val="bottom"/>
          </w:tcPr>
          <w:p>
            <w:pPr>
              <w:spacing w:after="0"/>
              <w:rPr>
                <w:sz w:val="24"/>
                <w:szCs w:val="24"/>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[Tax Matters]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75"/>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Exhibits</w:t>
            </w:r>
          </w:p>
        </w:tc>
        <w:tc>
          <w:tcPr>
            <w:tcW w:w="6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333"/>
        </w:trPr>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A: Exchanging Investor Information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314"/>
        </w:trPr>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B: Exchange Procedures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B-1</w:t>
            </w:r>
          </w:p>
        </w:tc>
      </w:tr>
      <w:tr>
        <w:trPr>
          <w:trHeight w:val="314"/>
        </w:trPr>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C: Form of New Notes Indenture</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C-1</w:t>
            </w:r>
          </w:p>
        </w:tc>
      </w:tr>
      <w:tr>
        <w:trPr>
          <w:trHeight w:val="314"/>
        </w:trPr>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D: [Tax Matters]</w:t>
            </w:r>
          </w:p>
        </w:tc>
        <w:tc>
          <w:tcPr>
            <w:tcW w:w="3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EXCHANGE AGREEMENT</w:t>
      </w:r>
    </w:p>
    <w:p>
      <w:pPr>
        <w:spacing w:after="0" w:line="223"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EXCHANGE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May 21, 2025, between The Beauty Health Company, a Delaware corporation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entities listed on Schedule I hereto, as guarantors (the “</w:t>
      </w:r>
      <w:r>
        <w:rPr>
          <w:rFonts w:ascii="Times New Roman" w:cs="Times New Roman" w:eastAsia="Times New Roman" w:hAnsi="Times New Roman"/>
          <w:sz w:val="17"/>
          <w:szCs w:val="17"/>
          <w:b w:val="1"/>
          <w:bCs w:val="1"/>
          <w:color w:val="auto"/>
        </w:rPr>
        <w:t>Guarantors</w:t>
      </w:r>
      <w:r>
        <w:rPr>
          <w:rFonts w:ascii="Times New Roman" w:cs="Times New Roman" w:eastAsia="Times New Roman" w:hAnsi="Times New Roman"/>
          <w:sz w:val="17"/>
          <w:szCs w:val="17"/>
          <w:color w:val="auto"/>
        </w:rPr>
        <w:t>”), and the undersigned investor (the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xml:space="preserve">”), on its own behalf and on behalf of each of the beneficial owners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(each, an “</w:t>
      </w:r>
      <w:r>
        <w:rPr>
          <w:rFonts w:ascii="Times New Roman" w:cs="Times New Roman" w:eastAsia="Times New Roman" w:hAnsi="Times New Roman"/>
          <w:sz w:val="17"/>
          <w:szCs w:val="17"/>
          <w:b w:val="1"/>
          <w:bCs w:val="1"/>
          <w:color w:val="auto"/>
        </w:rPr>
        <w:t>Account</w:t>
      </w:r>
      <w:r>
        <w:rPr>
          <w:rFonts w:ascii="Times New Roman" w:cs="Times New Roman" w:eastAsia="Times New Roman" w:hAnsi="Times New Roman"/>
          <w:sz w:val="17"/>
          <w:szCs w:val="17"/>
          <w:color w:val="auto"/>
        </w:rPr>
        <w:t>”) for whom the Investor holds contractual and investment authority (each Account, including the Investor if it is exchanging Existing Notes in the Exchange (each, as defined below) on its own behalf, an “</w:t>
      </w:r>
      <w:r>
        <w:rPr>
          <w:rFonts w:ascii="Times New Roman" w:cs="Times New Roman" w:eastAsia="Times New Roman" w:hAnsi="Times New Roman"/>
          <w:sz w:val="17"/>
          <w:szCs w:val="17"/>
          <w:b w:val="1"/>
          <w:bCs w:val="1"/>
          <w:color w:val="auto"/>
        </w:rPr>
        <w:t>Exchanging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If there is only one Account or Exchanging Investor, then each reference thereto in this Agreement will be deemed to refer to such Account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Exchanging Investor, as applicable, in the singular,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and each Exchanging Investor desire to engage in the Exchange on the terms and subject to the conditions set forth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THEREFORE</w:t>
      </w:r>
      <w:r>
        <w:rPr>
          <w:rFonts w:ascii="Times New Roman" w:cs="Times New Roman" w:eastAsia="Times New Roman" w:hAnsi="Times New Roman"/>
          <w:sz w:val="17"/>
          <w:szCs w:val="17"/>
          <w:color w:val="auto"/>
        </w:rPr>
        <w:t>, the Company, the Investor and each Exchanging Investor agree as follows.</w:t>
      </w:r>
    </w:p>
    <w:p>
      <w:pPr>
        <w:spacing w:after="0" w:line="225"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1.</w:t>
      </w:r>
      <w:r>
        <w:rPr>
          <w:sz w:val="20"/>
          <w:szCs w:val="20"/>
          <w:color w:val="auto"/>
        </w:rPr>
        <w:tab/>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1"/>
          <w:szCs w:val="11"/>
          <w:u w:val="single" w:color="auto"/>
          <w:color w:val="auto"/>
        </w:rPr>
        <w:t>efinitions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w:t>
      </w:r>
      <w:r>
        <w:rPr>
          <w:rFonts w:ascii="Times New Roman" w:cs="Times New Roman" w:eastAsia="Times New Roman" w:hAnsi="Times New Roman"/>
          <w:sz w:val="17"/>
          <w:szCs w:val="17"/>
          <w:color w:val="auto"/>
        </w:rPr>
        <w:t>” has the meaning set forth in the first paragraph of this Agreement.</w:t>
      </w:r>
    </w:p>
    <w:p>
      <w:pPr>
        <w:spacing w:after="0" w:line="22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 specified Person, any other Person, directly or indirectly Controlling or Controlled by or under direct or indirect common Control with such specified Person. For the avoidance of doubt, an Exchanging Investor is not an Affiliate of the Company solely as a result of the Exchange.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has the meaning set forth in the first paragraph of this Agreement.</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that is not a Saturday, Sunday or other day on which commercial banks in New York City are authorized or required by law to remain closed.</w:t>
      </w:r>
    </w:p>
    <w:p>
      <w:pPr>
        <w:spacing w:after="0" w:line="14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Consideration</w:t>
      </w:r>
      <w:r>
        <w:rPr>
          <w:rFonts w:ascii="Times New Roman" w:cs="Times New Roman" w:eastAsia="Times New Roman" w:hAnsi="Times New Roman"/>
          <w:sz w:val="17"/>
          <w:szCs w:val="17"/>
          <w:color w:val="auto"/>
        </w:rPr>
        <w:t>” means, with respect to the Existing Notes of any Exchanging Investor to be exchanged in the Exchange, the cash forming part of the Exchange Consideration for such Existing Notes.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3(b)(i)</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3(b)(i)</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 means U.S. Bank, Trust Company, National Association, a national association, in its capacity as collateral agent under the New Notes Indenture.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Class A Common Stock, $0.0001 par value per share, of the Company.</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has the meaning set forth in the first paragraph of this Agreement.</w:t>
      </w:r>
    </w:p>
    <w:p>
      <w:pPr>
        <w:spacing w:after="0" w:line="22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Controlled</w:t>
      </w:r>
      <w:r>
        <w:rPr>
          <w:rFonts w:ascii="Times New Roman" w:cs="Times New Roman" w:eastAsia="Times New Roman" w:hAnsi="Times New Roman"/>
          <w:sz w:val="17"/>
          <w:szCs w:val="17"/>
          <w:color w:val="auto"/>
        </w:rPr>
        <w:t>” means, as to a specified Person, the power to direct or cause the direction of the management and policies of such Person, directly or indirectly, whether through the ownership of voting securities, by contract or otherwise.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4(j)</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4(j)</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Covered SEC Filings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4(q)</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means The Depository Trust Company.</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DWAC</w:t>
      </w:r>
      <w:r>
        <w:rPr>
          <w:rFonts w:ascii="Times New Roman" w:cs="Times New Roman" w:eastAsia="Times New Roman" w:hAnsi="Times New Roman"/>
          <w:sz w:val="17"/>
          <w:szCs w:val="17"/>
          <w:color w:val="auto"/>
        </w:rPr>
        <w:t>” means DTC’s Deposit and Withdrawal at Custodian program.</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DWAC Withdrawal</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3(b)(iii)(1)</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3(a)</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Consideration</w:t>
      </w:r>
      <w:r>
        <w:rPr>
          <w:rFonts w:ascii="Times New Roman" w:cs="Times New Roman" w:eastAsia="Times New Roman" w:hAnsi="Times New Roman"/>
          <w:sz w:val="17"/>
          <w:szCs w:val="17"/>
          <w:color w:val="auto"/>
        </w:rPr>
        <w:t>” means, with respect to the Existing Notes of any Exchanging Investor to be exchanged in the Exchange, [ ˜ ].</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Indenture</w:t>
      </w:r>
      <w:r>
        <w:rPr>
          <w:rFonts w:ascii="Times New Roman" w:cs="Times New Roman" w:eastAsia="Times New Roman" w:hAnsi="Times New Roman"/>
          <w:sz w:val="17"/>
          <w:szCs w:val="17"/>
          <w:color w:val="auto"/>
        </w:rPr>
        <w:t>” means that certain Indenture, dated as of September 14, 2021, between the Company and the Existing Notes Trustee.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Notes</w:t>
      </w:r>
      <w:r>
        <w:rPr>
          <w:rFonts w:ascii="Times New Roman" w:cs="Times New Roman" w:eastAsia="Times New Roman" w:hAnsi="Times New Roman"/>
          <w:sz w:val="17"/>
          <w:szCs w:val="17"/>
          <w:color w:val="auto"/>
        </w:rPr>
        <w:t>” means the Company’s 1.25% Convertible Senior Notes due 2026 issued pursuant to the Existing Indenture.</w:t>
      </w:r>
    </w:p>
    <w:p>
      <w:pPr>
        <w:spacing w:after="0" w:line="22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Notes Trustee</w:t>
      </w:r>
      <w:r>
        <w:rPr>
          <w:rFonts w:ascii="Times New Roman" w:cs="Times New Roman" w:eastAsia="Times New Roman" w:hAnsi="Times New Roman"/>
          <w:sz w:val="17"/>
          <w:szCs w:val="17"/>
          <w:color w:val="auto"/>
        </w:rPr>
        <w:t>” means U.S. Bank Trust Company, National Association (as successor in interest to U.S. Bank National Association), in its capacity as trustee under the Existing Indenture.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GS</w:t>
      </w:r>
      <w:r>
        <w:rPr>
          <w:rFonts w:ascii="Times New Roman" w:cs="Times New Roman" w:eastAsia="Times New Roman" w:hAnsi="Times New Roman"/>
          <w:sz w:val="17"/>
          <w:szCs w:val="17"/>
          <w:color w:val="auto"/>
        </w:rPr>
        <w:t>” means Goldman Sachs &amp; Co. LLC.</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means the guarantee of the New Notes by each Guarantor, as set forth in the New Notes Indenture.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Guarantors</w:t>
      </w:r>
      <w:r>
        <w:rPr>
          <w:rFonts w:ascii="Times New Roman" w:cs="Times New Roman" w:eastAsia="Times New Roman" w:hAnsi="Times New Roman"/>
          <w:sz w:val="17"/>
          <w:szCs w:val="17"/>
          <w:color w:val="auto"/>
        </w:rPr>
        <w:t>” has the meaning set forth in the first paragraph of this Agreement.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HSR 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4(k)</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9(a)</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 Company 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4(p)</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has the meaning set forth in the first paragraph of this Agreement.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means the Internal Revenue Service.</w:t>
      </w:r>
    </w:p>
    <w:p>
      <w:pPr>
        <w:spacing w:after="0" w:line="22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means any mortgages, liens, pledges, charges, security interests, encumbrances, title retention agreements, options, preemptive rights, equity or other adverse claims.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Change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4(t)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means the Nasdaq Stock Market LLC.</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Notes</w:t>
      </w:r>
      <w:r>
        <w:rPr>
          <w:rFonts w:ascii="Times New Roman" w:cs="Times New Roman" w:eastAsia="Times New Roman" w:hAnsi="Times New Roman"/>
          <w:sz w:val="17"/>
          <w:szCs w:val="17"/>
          <w:color w:val="auto"/>
        </w:rPr>
        <w:t>” means the Company’s 7.95% Convertible Senior Secured Notes due 2028.</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Notes DWAC Deposit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3(b)(iii)(2)</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Notes Indenture</w:t>
      </w:r>
      <w:r>
        <w:rPr>
          <w:rFonts w:ascii="Times New Roman" w:cs="Times New Roman" w:eastAsia="Times New Roman" w:hAnsi="Times New Roman"/>
          <w:sz w:val="17"/>
          <w:szCs w:val="17"/>
          <w:color w:val="auto"/>
        </w:rPr>
        <w:t xml:space="preserve">” means an Indenture, to be dated as of the Closing Date, among the Company, the Guarantors, the New Notes Trustee and the Collateral Agent, which Indenture is substantially in the form set forth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Notes Trustee</w:t>
      </w:r>
      <w:r>
        <w:rPr>
          <w:rFonts w:ascii="Times New Roman" w:cs="Times New Roman" w:eastAsia="Times New Roman" w:hAnsi="Times New Roman"/>
          <w:sz w:val="17"/>
          <w:szCs w:val="17"/>
          <w:color w:val="auto"/>
        </w:rPr>
        <w:t>” means U.S. Bank Trust Company, National Association, in its capacity as trustee under the New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natural person, corporation, company, limited liability company, trust, joint venture, association, company, partnership, governmental authority or other entity.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9(a)</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 Time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4(u)</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Securities and Exchange Commission.</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223"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means, with respect to any Person, as of any date of determination, that, as of such date, (a) the value of the assets of such Person and its subsidiaries, taken as a whole (both at fair value and present fair saleable value) is greater than the total amount of liabilities (including contingent and unliquidated liabilities) of such Person and its subsidiaries, taken as a whole, (b) such Person and its subsidiaries are able to pay all liabilities of such Person and its subsidiaries as such liabilities mature and (c) such Person and its subsidiaries, taken as a whole, do not have unreasonably small capital in relation to such Person’s and its subsidiaries’ business as contemplated as of such date.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 Indenture Act</w:t>
      </w:r>
      <w:r>
        <w:rPr>
          <w:rFonts w:ascii="Times New Roman" w:cs="Times New Roman" w:eastAsia="Times New Roman" w:hAnsi="Times New Roman"/>
          <w:sz w:val="17"/>
          <w:szCs w:val="17"/>
          <w:color w:val="auto"/>
        </w:rPr>
        <w:t>” means the Trust Indenture Act of 1939, as amended.</w:t>
      </w:r>
    </w:p>
    <w:p>
      <w:pPr>
        <w:spacing w:after="0" w:line="225"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2.</w:t>
      </w:r>
      <w:r>
        <w:rPr>
          <w:sz w:val="20"/>
          <w:szCs w:val="20"/>
          <w:color w:val="auto"/>
        </w:rPr>
        <w:tab/>
      </w:r>
      <w:r>
        <w:rPr>
          <w:rFonts w:ascii="Times New Roman" w:cs="Times New Roman" w:eastAsia="Times New Roman" w:hAnsi="Times New Roman"/>
          <w:sz w:val="17"/>
          <w:szCs w:val="17"/>
          <w:u w:val="single" w:color="auto"/>
          <w:color w:val="auto"/>
        </w:rPr>
        <w:t>R</w:t>
      </w:r>
      <w:r>
        <w:rPr>
          <w:rFonts w:ascii="Times New Roman" w:cs="Times New Roman" w:eastAsia="Times New Roman" w:hAnsi="Times New Roman"/>
          <w:sz w:val="11"/>
          <w:szCs w:val="11"/>
          <w:u w:val="single" w:color="auto"/>
          <w:color w:val="auto"/>
        </w:rPr>
        <w:t>ules of</w:t>
      </w:r>
      <w:r>
        <w:rPr>
          <w:rFonts w:ascii="Times New Roman" w:cs="Times New Roman" w:eastAsia="Times New Roman" w:hAnsi="Times New Roman"/>
          <w:sz w:val="17"/>
          <w:szCs w:val="17"/>
          <w:u w:val="single" w:color="auto"/>
          <w:color w:val="auto"/>
        </w:rPr>
        <w:t xml:space="preserve"> C</w:t>
      </w:r>
      <w:r>
        <w:rPr>
          <w:rFonts w:ascii="Times New Roman" w:cs="Times New Roman" w:eastAsia="Times New Roman" w:hAnsi="Times New Roman"/>
          <w:sz w:val="11"/>
          <w:szCs w:val="11"/>
          <w:u w:val="single" w:color="auto"/>
          <w:color w:val="auto"/>
        </w:rPr>
        <w:t>onstruction</w:t>
      </w:r>
      <w:r>
        <w:rPr>
          <w:rFonts w:ascii="Times New Roman" w:cs="Times New Roman" w:eastAsia="Times New Roman" w:hAnsi="Times New Roman"/>
          <w:sz w:val="17"/>
          <w:szCs w:val="17"/>
          <w:color w:val="auto"/>
        </w:rPr>
        <w:t>. F</w:t>
      </w:r>
      <w:r>
        <w:rPr>
          <w:rFonts w:ascii="Times New Roman" w:cs="Times New Roman" w:eastAsia="Times New Roman" w:hAnsi="Times New Roman"/>
          <w:sz w:val="11"/>
          <w:szCs w:val="11"/>
          <w:color w:val="auto"/>
        </w:rPr>
        <w:t>or purposes of this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60" w:hanging="627"/>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is not exclusive;</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means “including without limitation”;</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expresses a command;</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in the singular include the plural and words in the plural include the singular, unless the context requires otherwise;</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“herein,” “hereof” and other words of similar import refer to this Agreement as a whole and not to any particular Section or other subdivision of this Agreement, unless the context requires otherwise;</w:t>
      </w:r>
    </w:p>
    <w:p>
      <w:pPr>
        <w:spacing w:after="0" w:line="14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currency mean the lawful currency of the United States of America, unless the context requires otherwise; and</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exhibits, schedules and other attachments to this Agreement are deemed to form part of this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3.</w:t>
      </w:r>
      <w:r>
        <w:rPr>
          <w:sz w:val="20"/>
          <w:szCs w:val="20"/>
          <w:color w:val="auto"/>
        </w:rPr>
        <w:tab/>
      </w:r>
      <w:r>
        <w:rPr>
          <w:rFonts w:ascii="Times New Roman" w:cs="Times New Roman" w:eastAsia="Times New Roman" w:hAnsi="Times New Roman"/>
          <w:sz w:val="17"/>
          <w:szCs w:val="17"/>
          <w:u w:val="single" w:color="auto"/>
          <w:color w:val="auto"/>
        </w:rPr>
        <w:t>T</w:t>
      </w:r>
      <w:r>
        <w:rPr>
          <w:rFonts w:ascii="Times New Roman" w:cs="Times New Roman" w:eastAsia="Times New Roman" w:hAnsi="Times New Roman"/>
          <w:sz w:val="11"/>
          <w:szCs w:val="11"/>
          <w:u w:val="single" w:color="auto"/>
          <w:color w:val="auto"/>
        </w:rPr>
        <w:t>he</w:t>
      </w:r>
      <w:r>
        <w:rPr>
          <w:rFonts w:ascii="Times New Roman" w:cs="Times New Roman" w:eastAsia="Times New Roman" w:hAnsi="Times New Roman"/>
          <w:sz w:val="17"/>
          <w:szCs w:val="17"/>
          <w:u w:val="single" w:color="auto"/>
          <w:color w:val="auto"/>
        </w:rPr>
        <w:t xml:space="preserve"> E</w:t>
      </w:r>
      <w:r>
        <w:rPr>
          <w:rFonts w:ascii="Times New Roman" w:cs="Times New Roman" w:eastAsia="Times New Roman" w:hAnsi="Times New Roman"/>
          <w:sz w:val="11"/>
          <w:szCs w:val="11"/>
          <w:u w:val="single" w:color="auto"/>
          <w:color w:val="auto"/>
        </w:rPr>
        <w:t>xchange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20" w:firstLine="633"/>
        <w:spacing w:after="0" w:line="270" w:lineRule="auto"/>
        <w:tabs>
          <w:tab w:leader="none" w:pos="1236"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Subject to the other terms of this Agreement, the parties hereto agree that, at the Closing, each of the Investor and each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Exchanging Investor, if any, will exchange, with the Company, the aggregate principal amount of Existing Notes, CUSIP No. 88331L AA6, set forth in </w:t>
      </w:r>
      <w:r>
        <w:rPr>
          <w:rFonts w:ascii="Times New Roman" w:cs="Times New Roman" w:eastAsia="Times New Roman" w:hAnsi="Times New Roman"/>
          <w:sz w:val="17"/>
          <w:szCs w:val="17"/>
          <w:u w:val="single" w:color="auto"/>
          <w:color w:val="auto"/>
        </w:rPr>
        <w:t>Exhibit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hereto that it beneficially owns for Exchange Consideration in the amount corresponding to such principal amount of Existing Notes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All obligations of the Investor and any other Exchanging Investor under this Agreement are several and not joint.</w:t>
      </w:r>
    </w:p>
    <w:p>
      <w:pPr>
        <w:spacing w:after="0" w:line="167" w:lineRule="exact"/>
        <w:rPr>
          <w:rFonts w:ascii="Times New Roman" w:cs="Times New Roman" w:eastAsia="Times New Roman" w:hAnsi="Times New Roman"/>
          <w:sz w:val="17"/>
          <w:szCs w:val="17"/>
          <w:i w:val="1"/>
          <w:iCs w:val="1"/>
          <w:color w:val="auto"/>
        </w:rPr>
      </w:pPr>
    </w:p>
    <w:p>
      <w:pPr>
        <w:ind w:left="1240" w:hanging="627"/>
        <w:spacing w:after="0"/>
        <w:tabs>
          <w:tab w:leader="none" w:pos="124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Closing</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i w:val="1"/>
          <w:iCs w:val="1"/>
          <w:color w:val="auto"/>
        </w:rPr>
      </w:pPr>
    </w:p>
    <w:p>
      <w:pPr>
        <w:jc w:val="both"/>
        <w:ind w:left="620" w:firstLine="621"/>
        <w:spacing w:after="0" w:line="270" w:lineRule="auto"/>
        <w:tabs>
          <w:tab w:leader="none" w:pos="187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Closing Date and Location</w:t>
      </w:r>
      <w:r>
        <w:rPr>
          <w:rFonts w:ascii="Times New Roman" w:cs="Times New Roman" w:eastAsia="Times New Roman" w:hAnsi="Times New Roman"/>
          <w:sz w:val="17"/>
          <w:szCs w:val="17"/>
          <w:color w:val="auto"/>
        </w:rPr>
        <w:t>. The closing of the Exchange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will take place at the offices of Latham &amp; Watkins LLP,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10250 Constellation Blvd., Suite 1100, Los Angeles, California 90067, at 10:00 a.m., New York City time, on the later of (1) May 27, 2025; (2) such date on which the conditions to Closing set forth in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xml:space="preserve"> are satisfied or waived; and (3) such other time and place as the Company and the Investor may mutually agree (such later date,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left="620" w:firstLine="621"/>
        <w:spacing w:after="0" w:line="259" w:lineRule="auto"/>
        <w:tabs>
          <w:tab w:leader="none" w:pos="187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Conveyance of Title; Release of Claims</w:t>
      </w:r>
      <w:r>
        <w:rPr>
          <w:rFonts w:ascii="Times New Roman" w:cs="Times New Roman" w:eastAsia="Times New Roman" w:hAnsi="Times New Roman"/>
          <w:sz w:val="17"/>
          <w:szCs w:val="17"/>
          <w:color w:val="auto"/>
        </w:rPr>
        <w:t>. Subject to the other terms and conditions of this Agreement, the Investor hereby, for itself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on behalf of each Exchanging Investor, agrees, in each case at and as of the Closing, (i) to sell, assign and transfer to the Company, all right, title and interest in such portion of the Existing Notes as indicated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in exchange for the sale, assignment and transfer by the Company to such Exchanging Investor of the Exchange Consideration, in the amount corresponding to such principal amount of the Existing Notes and (ii) to waive any and all other rights with respect to such Existing Notes and the Existing Indenture and release and discharge the Company and its current and former shareholders, members, partners, officers, directors, employees, agents, affiliates, attorneys and representatives as well as their respective successors and assigns from any and all claims, suits, causes of action and any other right, whether now known or unknown, the Investor and any other Exchanging Investor may now have, or may have in the future, arising out of, or related to, such Existing Notes, including any claims arising from any existing or past defaults under the Existing Indenture, to the extent that any such claim shall be based in whole or in part upon facts, circumstances, actions or events occurring, arising or attributable to the period on or prior to the Closing, but excluding any claims arising out of, or related to, this Agreement, the New Notes, the New Notes Indenture, the Guarantees, the Security Documents and any transactions contemplated hereby or thereby. Subject to the other terms and conditions of this Agreement, the Company and each of the Guarantors hereby agree, in each case at and as of the Closing, (i) to sell, assign and transfer to each of the Exchanging Investors the Exchange Consideration, in exchange for the sale, assignment and transfer by such Exchanging Investor to the Company of such portion of the Existing Notes as indicated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in the amount corresponding to such principal amount of the Existing Notes and (ii) to waive any and all other rights against the Investor and each Exchanging Investor with respect to such Existing Notes and the Existing Indenture and to release and discharge the Investor and each Exchanging Investor and each of their current and former shareholders, members, partners, officers, directors, employees, agents, affiliates, attorneys and representatives as well as their respective successors and assigns from any and all claims, suits, causes of action and any other right, whether now known or unknown, the Company and any Guarantor may now have, or may have in the future, arising out of, or related to, such Existing Notes, including any claims arising from any existing or past defaults under the Existing Indenture, but excluding any claims arising out of, or related to, this Agreement, the New Notes, the New Notes Indenture, the Guarantees, the Security Documents and any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sectPr>
      </w:pPr>
    </w:p>
    <w:bookmarkStart w:id="12" w:name="page13"/>
    <w:bookmarkEnd w:id="12"/>
    <w:p>
      <w:pPr>
        <w:ind w:left="760" w:hanging="61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Existing Notes and Exchange Consideration</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1400" w:hanging="631"/>
        <w:spacing w:after="0"/>
        <w:tabs>
          <w:tab w:leader="none" w:pos="14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DWAC Withdrawal</w:t>
      </w:r>
      <w:r>
        <w:rPr>
          <w:rFonts w:ascii="Times New Roman" w:cs="Times New Roman" w:eastAsia="Times New Roman" w:hAnsi="Times New Roman"/>
          <w:sz w:val="17"/>
          <w:szCs w:val="17"/>
          <w:color w:val="auto"/>
        </w:rPr>
        <w:t>. Subject to satisfaction of the applicable conditions precedent specified in this Agreement, at or prior to</w:t>
      </w:r>
    </w:p>
    <w:p>
      <w:pPr>
        <w:spacing w:after="0" w:line="33" w:lineRule="exact"/>
        <w:rPr>
          <w:rFonts w:ascii="Times New Roman" w:cs="Times New Roman" w:eastAsia="Times New Roman" w:hAnsi="Times New Roman"/>
          <w:sz w:val="17"/>
          <w:szCs w:val="17"/>
          <w:color w:val="auto"/>
        </w:rPr>
      </w:pPr>
    </w:p>
    <w:p>
      <w:pPr>
        <w:jc w:val="both"/>
        <w:ind w:left="1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9:30 a.m., New York City time, on the Closing Date, the Investor agrees to direct the eligible DTC participant through which each Exchanging Investor holds a beneficial interest in the Existing Notes to submit a DWAC withdrawal instruction (the “</w:t>
      </w:r>
      <w:r>
        <w:rPr>
          <w:rFonts w:ascii="Times New Roman" w:cs="Times New Roman" w:eastAsia="Times New Roman" w:hAnsi="Times New Roman"/>
          <w:sz w:val="17"/>
          <w:szCs w:val="17"/>
          <w:b w:val="1"/>
          <w:bCs w:val="1"/>
          <w:color w:val="auto"/>
        </w:rPr>
        <w:t>DWAC Withdrawal</w:t>
      </w:r>
      <w:r>
        <w:rPr>
          <w:rFonts w:ascii="Times New Roman" w:cs="Times New Roman" w:eastAsia="Times New Roman" w:hAnsi="Times New Roman"/>
          <w:sz w:val="17"/>
          <w:szCs w:val="17"/>
          <w:color w:val="auto"/>
        </w:rPr>
        <w:t>”) to the Existing Notes Trustee for the aggregate principal amount of the Existing Notes to be exchanged by such Exchanging Investor pursuant to this Agreement.</w:t>
      </w:r>
    </w:p>
    <w:p>
      <w:pPr>
        <w:spacing w:after="0" w:line="379" w:lineRule="exact"/>
        <w:rPr>
          <w:rFonts w:ascii="Times New Roman" w:cs="Times New Roman" w:eastAsia="Times New Roman" w:hAnsi="Times New Roman"/>
          <w:sz w:val="17"/>
          <w:szCs w:val="17"/>
          <w:color w:val="auto"/>
        </w:rPr>
      </w:pPr>
    </w:p>
    <w:p>
      <w:pPr>
        <w:jc w:val="both"/>
        <w:ind w:left="140" w:firstLine="629"/>
        <w:spacing w:after="0" w:line="267" w:lineRule="auto"/>
        <w:tabs>
          <w:tab w:leader="none" w:pos="139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New Notes DWAC Deposit</w:t>
      </w:r>
      <w:r>
        <w:rPr>
          <w:rFonts w:ascii="Times New Roman" w:cs="Times New Roman" w:eastAsia="Times New Roman" w:hAnsi="Times New Roman"/>
          <w:sz w:val="17"/>
          <w:szCs w:val="17"/>
          <w:color w:val="auto"/>
        </w:rPr>
        <w:t>. DTC will act as securities depositary for the New Notes. Subject to satisfaction of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precedent specified in this Agreement, at or prior to 9:30 a.m. New York City time on the Closing Date, the Investor agrees to direct an eligible DTC participant to submit, separately for each Exchanging Investor, a DWAC deposit instruction (the “</w:t>
      </w:r>
      <w:r>
        <w:rPr>
          <w:rFonts w:ascii="Times New Roman" w:cs="Times New Roman" w:eastAsia="Times New Roman" w:hAnsi="Times New Roman"/>
          <w:sz w:val="17"/>
          <w:szCs w:val="17"/>
          <w:b w:val="1"/>
          <w:bCs w:val="1"/>
          <w:color w:val="auto"/>
        </w:rPr>
        <w:t>New Notes DWAC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Deposit</w:t>
      </w:r>
      <w:r>
        <w:rPr>
          <w:rFonts w:ascii="Times New Roman" w:cs="Times New Roman" w:eastAsia="Times New Roman" w:hAnsi="Times New Roman"/>
          <w:sz w:val="17"/>
          <w:szCs w:val="17"/>
          <w:color w:val="auto"/>
        </w:rPr>
        <w:t>”) to the New Notes Trustee, for the aggregate principal amount of New Notes that such Exchanging Investor is entitled to receive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this Agreement, or comply with such other settlement procedures mutually agreed in writing by the Investor and the Company.</w:t>
      </w:r>
    </w:p>
    <w:p>
      <w:pPr>
        <w:spacing w:after="0" w:line="168" w:lineRule="exact"/>
        <w:rPr>
          <w:rFonts w:ascii="Times New Roman" w:cs="Times New Roman" w:eastAsia="Times New Roman" w:hAnsi="Times New Roman"/>
          <w:sz w:val="17"/>
          <w:szCs w:val="17"/>
          <w:color w:val="auto"/>
        </w:rPr>
      </w:pPr>
    </w:p>
    <w:p>
      <w:pPr>
        <w:jc w:val="both"/>
        <w:ind w:left="140" w:firstLine="629"/>
        <w:spacing w:after="0" w:line="261" w:lineRule="auto"/>
        <w:tabs>
          <w:tab w:leader="none" w:pos="139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Exchange Consideration</w:t>
      </w:r>
      <w:r>
        <w:rPr>
          <w:rFonts w:ascii="Times New Roman" w:cs="Times New Roman" w:eastAsia="Times New Roman" w:hAnsi="Times New Roman"/>
          <w:sz w:val="17"/>
          <w:szCs w:val="17"/>
          <w:color w:val="auto"/>
        </w:rPr>
        <w:t>. The Exchange Consideration will not be delivered until a valid DWAC Withdrawal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Existing Notes has been received and accepted by the Existing Notes Trustee. If the Closing does not occur, then any Existing Notes submitted for DWAC Withdrawal will be returned to the DTC participant that submitted the DWAC Withdrawal instruction in accordance with the procedures of DTC. On the Closing Date, subject to satisfaction of the conditions precedent specified in this Agreement, and the prior receipt of a valid DWAC Withdrawal conforming with the aggregate principal amount of the Existing Notes to be exchanged by each Exchanging Investor a valid New Notes DWAC Deposit conforming with the aggregate principal amount of the New Notes to be issued to such Exchanging Investor in the Exchange, the Company will (A) pay the applicable Cash Consideration to such Exchanging Investor by wire transfer to the account in the United States of such Exchanging Investor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this Agreement and (B) execute such New Notes, and direct the New Notes Trustee to authenticate and, by acceptance of the New Notes DWAC Deposit, deliver, such New Notes (or comply with such other settlement procedures mutually agreed in writing by the Company and the New Notes Trustee), in each case to the DTC account specified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this Agreement.</w:t>
      </w:r>
    </w:p>
    <w:p>
      <w:pPr>
        <w:spacing w:after="0" w:line="173" w:lineRule="exact"/>
        <w:rPr>
          <w:rFonts w:ascii="Times New Roman" w:cs="Times New Roman" w:eastAsia="Times New Roman" w:hAnsi="Times New Roman"/>
          <w:sz w:val="17"/>
          <w:szCs w:val="17"/>
          <w:color w:val="auto"/>
        </w:rPr>
      </w:pPr>
    </w:p>
    <w:p>
      <w:pPr>
        <w:ind w:left="1400" w:hanging="631"/>
        <w:spacing w:after="0"/>
        <w:tabs>
          <w:tab w:leader="none" w:pos="14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Acknowledgment of DWAC Posting Expiration; Delivery Instructions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Each of the Investor and each other Exchanging</w:t>
      </w:r>
    </w:p>
    <w:p>
      <w:pPr>
        <w:spacing w:after="0" w:line="33" w:lineRule="exact"/>
        <w:rPr>
          <w:rFonts w:ascii="Times New Roman" w:cs="Times New Roman" w:eastAsia="Times New Roman" w:hAnsi="Times New Roman"/>
          <w:sz w:val="17"/>
          <w:szCs w:val="17"/>
          <w:color w:val="auto"/>
        </w:rPr>
      </w:pPr>
    </w:p>
    <w:p>
      <w:pPr>
        <w:jc w:val="both"/>
        <w:ind w:left="1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Investor, if any, acknowledges that each of the DWAC Withdrawal and the New Notes DWAC Deposit must be posted on the Closing Date and that if it is posted before the Closing Date, then it will expire unaccepted and must be resubmitted on the Closing Date. </w:t>
      </w:r>
      <w:r>
        <w:rPr>
          <w:rFonts w:ascii="Times New Roman" w:cs="Times New Roman" w:eastAsia="Times New Roman" w:hAnsi="Times New Roman"/>
          <w:sz w:val="17"/>
          <w:szCs w:val="17"/>
          <w:color w:val="auto"/>
        </w:rPr>
        <w:t>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convenience of each Exchanging Investor,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is a summary of the delivery instructions that must be followed to settle the Exchange through DTC.</w:t>
      </w:r>
    </w:p>
    <w:p>
      <w:pPr>
        <w:spacing w:after="0" w:line="173" w:lineRule="exact"/>
        <w:rPr>
          <w:rFonts w:ascii="Times New Roman" w:cs="Times New Roman" w:eastAsia="Times New Roman" w:hAnsi="Times New Roman"/>
          <w:sz w:val="17"/>
          <w:szCs w:val="17"/>
          <w:color w:val="auto"/>
        </w:rPr>
      </w:pPr>
    </w:p>
    <w:p>
      <w:pPr>
        <w:jc w:val="both"/>
        <w:ind w:left="140" w:firstLine="629"/>
        <w:spacing w:after="0" w:line="262" w:lineRule="auto"/>
        <w:tabs>
          <w:tab w:leader="none" w:pos="139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Exchanges</w:t>
      </w:r>
      <w:r>
        <w:rPr>
          <w:rFonts w:ascii="Times New Roman" w:cs="Times New Roman" w:eastAsia="Times New Roman" w:hAnsi="Times New Roman"/>
          <w:sz w:val="17"/>
          <w:szCs w:val="17"/>
          <w:color w:val="auto"/>
        </w:rPr>
        <w:t>. Each of the Investor and each other Exchanging Investor, if any, acknowledges that other investors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participating in similar exchanges, each of which contemplates a DWAC Withdrawal and a New Notes DWAC Deposit. The Company intends to complete the New Notes DWAC Deposit concurrently for all investors who have submitted valid DWAC Withdrawals and New Notes DWAC Deposits by the deadline set forth above. In the event that the Investor complies with the deadline set forth above for the DWAC Withdrawal and other investors do not, the Company will use its commercially reasonable efforts to ensure that the New Notes are delivered to the Investor pursuant to the New Notes DWAC Deposit on the Closing Date. However, in the event that such New Notes are not delivered on the Closing Date, the Company will use its commercially reasonable efforts to ensure that the same will be delivered on the first Business Day immediately following the Closing Date or as soon as reasonably practicable thereafter.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20320</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120"/>
          </w:cols>
          <w:pgMar w:left="1440" w:top="773" w:right="339" w:bottom="1440" w:gutter="0" w:footer="0" w:header="0"/>
        </w:sectPr>
      </w:pPr>
    </w:p>
    <w:bookmarkStart w:id="13" w:name="page14"/>
    <w:bookmarkEnd w:id="13"/>
    <w:p>
      <w:pPr>
        <w:jc w:val="both"/>
        <w:ind w:left="1260" w:firstLine="629"/>
        <w:spacing w:after="0" w:line="263" w:lineRule="auto"/>
        <w:tabs>
          <w:tab w:leader="none" w:pos="25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Delay of Closing</w:t>
      </w:r>
      <w:r>
        <w:rPr>
          <w:rFonts w:ascii="Times New Roman" w:cs="Times New Roman" w:eastAsia="Times New Roman" w:hAnsi="Times New Roman"/>
          <w:sz w:val="17"/>
          <w:szCs w:val="17"/>
          <w:color w:val="auto"/>
        </w:rPr>
        <w:t>. If (A) the Existing Notes Trustee is unable to locate the DWAC Withdrawal or (B) the New Notes Trustee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is unable to locate the New Notes DWAC Deposit or (C) such DWAC Withdrawal does not conform to the Existing Notes to be exchanged in the Exchange or such New Notes DWAC Deposit does not conform to the New Notes to be issued in the Exchange, then the Company will promptly notify the Investor. If, because of the occurrence of an event described in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of the preceding sentence, the Cash Consideration is not paid or the New Notes are not delivered on the Closing Date, then such Cash Consideration or New Notes, as applicable will be paid or delivered, as applicable, on the first Business Day following the Closing Date (or as soon as reasonably practicable thereafter) on which all applicable conditions set forth in </w:t>
      </w:r>
      <w:r>
        <w:rPr>
          <w:rFonts w:ascii="Times New Roman" w:cs="Times New Roman" w:eastAsia="Times New Roman" w:hAnsi="Times New Roman"/>
          <w:sz w:val="17"/>
          <w:szCs w:val="17"/>
          <w:b w:val="1"/>
          <w:bCs w:val="1"/>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of the first sentence of this paragraph have been cured.</w:t>
      </w:r>
    </w:p>
    <w:p>
      <w:pPr>
        <w:spacing w:after="0" w:line="177" w:lineRule="exact"/>
        <w:rPr>
          <w:sz w:val="20"/>
          <w:szCs w:val="20"/>
          <w:color w:val="auto"/>
        </w:rPr>
      </w:pPr>
    </w:p>
    <w:p>
      <w:pPr>
        <w:ind w:firstLine="628"/>
        <w:spacing w:after="0" w:line="296" w:lineRule="auto"/>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4. </w:t>
      </w:r>
      <w:r>
        <w:rPr>
          <w:rFonts w:ascii="Times New Roman" w:cs="Times New Roman" w:eastAsia="Times New Roman" w:hAnsi="Times New Roman"/>
          <w:sz w:val="17"/>
          <w:szCs w:val="17"/>
          <w:u w:val="single" w:color="auto"/>
          <w:color w:val="auto"/>
        </w:rPr>
        <w:t>R</w:t>
      </w:r>
      <w:r>
        <w:rPr>
          <w:rFonts w:ascii="Times New Roman" w:cs="Times New Roman" w:eastAsia="Times New Roman" w:hAnsi="Times New Roman"/>
          <w:sz w:val="11"/>
          <w:szCs w:val="11"/>
          <w:u w:val="single" w:color="auto"/>
          <w:color w:val="auto"/>
        </w:rPr>
        <w:t>epresentations</w:t>
      </w:r>
      <w:r>
        <w:rPr>
          <w:rFonts w:ascii="Times New Roman" w:cs="Times New Roman" w:eastAsia="Times New Roman" w:hAnsi="Times New Roman"/>
          <w:sz w:val="17"/>
          <w:szCs w:val="17"/>
          <w:u w:val="single" w:color="auto"/>
          <w:color w:val="auto"/>
        </w:rPr>
        <w:t>, W</w:t>
      </w:r>
      <w:r>
        <w:rPr>
          <w:rFonts w:ascii="Times New Roman" w:cs="Times New Roman" w:eastAsia="Times New Roman" w:hAnsi="Times New Roman"/>
          <w:sz w:val="11"/>
          <w:szCs w:val="11"/>
          <w:u w:val="single" w:color="auto"/>
          <w:color w:val="auto"/>
        </w:rPr>
        <w:t>arranties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1"/>
          <w:szCs w:val="11"/>
          <w:u w:val="single" w:color="auto"/>
          <w:color w:val="auto"/>
        </w:rPr>
        <w:t>ovenants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1"/>
          <w:szCs w:val="11"/>
          <w:u w:val="single" w:color="auto"/>
          <w:color w:val="auto"/>
        </w:rPr>
        <w:t>ompany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1"/>
          <w:szCs w:val="11"/>
          <w:u w:val="single" w:color="auto"/>
          <w:color w:val="auto"/>
        </w:rPr>
        <w:t>uarantors</w:t>
      </w:r>
      <w:r>
        <w:rPr>
          <w:rFonts w:ascii="Times New Roman" w:cs="Times New Roman" w:eastAsia="Times New Roman" w:hAnsi="Times New Roman"/>
          <w:sz w:val="17"/>
          <w:szCs w:val="17"/>
          <w:color w:val="auto"/>
        </w:rPr>
        <w:t>. E</w:t>
      </w:r>
      <w:r>
        <w:rPr>
          <w:rFonts w:ascii="Times New Roman" w:cs="Times New Roman" w:eastAsia="Times New Roman" w:hAnsi="Times New Roman"/>
          <w:sz w:val="11"/>
          <w:szCs w:val="11"/>
          <w:color w:val="auto"/>
        </w:rPr>
        <w:t>ach of the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ompany and the</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1"/>
          <w:szCs w:val="11"/>
          <w:color w:val="auto"/>
        </w:rPr>
        <w:t>uarantors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1"/>
          <w:szCs w:val="11"/>
          <w:color w:val="auto"/>
        </w:rPr>
        <w:t xml:space="preserve">represents and warrants to the </w:t>
      </w:r>
      <w:r>
        <w:rPr>
          <w:rFonts w:ascii="Times New Roman" w:cs="Times New Roman" w:eastAsia="Times New Roman" w:hAnsi="Times New Roman"/>
          <w:sz w:val="17"/>
          <w:szCs w:val="17"/>
          <w:color w:val="auto"/>
        </w:rPr>
        <w:t>E</w:t>
      </w:r>
      <w:r>
        <w:rPr>
          <w:rFonts w:ascii="Times New Roman" w:cs="Times New Roman" w:eastAsia="Times New Roman" w:hAnsi="Times New Roman"/>
          <w:sz w:val="11"/>
          <w:szCs w:val="11"/>
          <w:color w:val="auto"/>
        </w:rPr>
        <w:t xml:space="preserve">xchanging </w:t>
      </w:r>
      <w:r>
        <w:rPr>
          <w:rFonts w:ascii="Times New Roman" w:cs="Times New Roman" w:eastAsia="Times New Roman" w:hAnsi="Times New Roman"/>
          <w:sz w:val="17"/>
          <w:szCs w:val="17"/>
          <w:color w:val="auto"/>
        </w:rPr>
        <w:t>I</w:t>
      </w:r>
      <w:r>
        <w:rPr>
          <w:rFonts w:ascii="Times New Roman" w:cs="Times New Roman" w:eastAsia="Times New Roman" w:hAnsi="Times New Roman"/>
          <w:sz w:val="11"/>
          <w:szCs w:val="11"/>
          <w:color w:val="auto"/>
        </w:rPr>
        <w:t>nvestors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 xml:space="preserve"> effective as of the date hereof and as of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1"/>
          <w:szCs w:val="11"/>
          <w:color w:val="auto"/>
        </w:rPr>
        <w:t>losing</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 xml:space="preserve"> and covenants that</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633"/>
        <w:spacing w:after="0" w:line="266" w:lineRule="auto"/>
        <w:tabs>
          <w:tab w:leader="none" w:pos="1256"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Due Formation, Valid Existence and Good Standing; Power to Perform Obligations</w:t>
      </w:r>
      <w:r>
        <w:rPr>
          <w:rFonts w:ascii="Times New Roman" w:cs="Times New Roman" w:eastAsia="Times New Roman" w:hAnsi="Times New Roman"/>
          <w:sz w:val="17"/>
          <w:szCs w:val="17"/>
          <w:color w:val="auto"/>
        </w:rPr>
        <w:t>. The Company is duly formed, validly existing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 standing under the laws of the State of Delaware, with full power and authority to conduct its business as it is currently being conducted and to own its assets. Each Guarantor is duly formed, validly existing and in good standing (or equivalent) under the laws of the jurisdiction of its organization, with full power and authority to conduct its business as it is currently being conducted and to own its assets. Each of the Company and the Guarantors has full power and authority to consummate the Exchange and to execute and deliver, and perform its obligations under, this Agreement, the New Notes Indenture and the New Notes.</w:t>
      </w:r>
    </w:p>
    <w:p>
      <w:pPr>
        <w:spacing w:after="0" w:line="382" w:lineRule="exact"/>
        <w:rPr>
          <w:rFonts w:ascii="Times New Roman" w:cs="Times New Roman" w:eastAsia="Times New Roman" w:hAnsi="Times New Roman"/>
          <w:sz w:val="17"/>
          <w:szCs w:val="17"/>
          <w:i w:val="1"/>
          <w:iCs w:val="1"/>
          <w:color w:val="auto"/>
        </w:rPr>
      </w:pPr>
    </w:p>
    <w:p>
      <w:pPr>
        <w:jc w:val="both"/>
        <w:ind w:firstLine="633"/>
        <w:spacing w:after="0" w:line="270" w:lineRule="auto"/>
        <w:tabs>
          <w:tab w:leader="none" w:pos="1256"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Solvency</w:t>
      </w:r>
      <w:r>
        <w:rPr>
          <w:rFonts w:ascii="Times New Roman" w:cs="Times New Roman" w:eastAsia="Times New Roman" w:hAnsi="Times New Roman"/>
          <w:sz w:val="17"/>
          <w:szCs w:val="17"/>
          <w:color w:val="auto"/>
        </w:rPr>
        <w:t>. Both immediately before and immediately after giving effect to the Exchange, each of the Company and the Guarantors (i)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Solvent and (ii) has not taken action, and no action has been taken by a third party, for the winding up, dissolution or liquidation or similar executory or judicial proceeding in respect of the Company or any of the Guarantors, or for the appointment of a liquidator, custodian, receiver, trustee, administrator or other similar officer for the Company or any of the Guarantors or all of their assets or revenues.</w:t>
      </w:r>
    </w:p>
    <w:p>
      <w:pPr>
        <w:spacing w:after="0" w:line="167" w:lineRule="exact"/>
        <w:rPr>
          <w:rFonts w:ascii="Times New Roman" w:cs="Times New Roman" w:eastAsia="Times New Roman" w:hAnsi="Times New Roman"/>
          <w:sz w:val="17"/>
          <w:szCs w:val="17"/>
          <w:i w:val="1"/>
          <w:iCs w:val="1"/>
          <w:color w:val="auto"/>
        </w:rPr>
      </w:pPr>
    </w:p>
    <w:p>
      <w:pPr>
        <w:ind w:firstLine="633"/>
        <w:spacing w:after="0" w:line="298" w:lineRule="auto"/>
        <w:tabs>
          <w:tab w:leader="none" w:pos="1256"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Delivery Free of Liens</w:t>
      </w:r>
      <w:r>
        <w:rPr>
          <w:rFonts w:ascii="Times New Roman" w:cs="Times New Roman" w:eastAsia="Times New Roman" w:hAnsi="Times New Roman"/>
          <w:sz w:val="17"/>
          <w:szCs w:val="17"/>
          <w:color w:val="auto"/>
        </w:rPr>
        <w:t>. Upon the Company’s delivery of the New Notes to any Exchanging Investor pursuant to the Exchange,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Exchanging Investor will acquire good, marketable and unencumbered title to the New Notes, free and clear of all Liens.</w:t>
      </w:r>
    </w:p>
    <w:p>
      <w:pPr>
        <w:spacing w:after="0" w:line="142" w:lineRule="exact"/>
        <w:rPr>
          <w:rFonts w:ascii="Times New Roman" w:cs="Times New Roman" w:eastAsia="Times New Roman" w:hAnsi="Times New Roman"/>
          <w:sz w:val="17"/>
          <w:szCs w:val="17"/>
          <w:i w:val="1"/>
          <w:iCs w:val="1"/>
          <w:color w:val="auto"/>
        </w:rPr>
      </w:pPr>
    </w:p>
    <w:p>
      <w:pPr>
        <w:jc w:val="both"/>
        <w:ind w:firstLine="633"/>
        <w:spacing w:after="0" w:line="277" w:lineRule="auto"/>
        <w:tabs>
          <w:tab w:leader="none" w:pos="1256"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Listing of Common Stock</w:t>
      </w:r>
      <w:r>
        <w:rPr>
          <w:rFonts w:ascii="Times New Roman" w:cs="Times New Roman" w:eastAsia="Times New Roman" w:hAnsi="Times New Roman"/>
          <w:sz w:val="17"/>
          <w:szCs w:val="17"/>
          <w:color w:val="auto"/>
        </w:rPr>
        <w:t>. At or before the Closing, the Company will have submitted to Nasdaq an Application for Listing of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with respect to the Conversion Shares. The Company will use its commercially reasonable efforts to maintain the listing of the Conversion Shares on the Nasdaq Capital Market for so long as the Common Stock is then so listed.</w:t>
      </w:r>
    </w:p>
    <w:p>
      <w:pPr>
        <w:spacing w:after="0" w:line="160" w:lineRule="exact"/>
        <w:rPr>
          <w:rFonts w:ascii="Times New Roman" w:cs="Times New Roman" w:eastAsia="Times New Roman" w:hAnsi="Times New Roman"/>
          <w:sz w:val="17"/>
          <w:szCs w:val="17"/>
          <w:i w:val="1"/>
          <w:iCs w:val="1"/>
          <w:color w:val="auto"/>
        </w:rPr>
      </w:pPr>
    </w:p>
    <w:p>
      <w:pPr>
        <w:ind w:left="1260" w:hanging="627"/>
        <w:spacing w:after="0"/>
        <w:tabs>
          <w:tab w:leader="none" w:pos="1260"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Securities Act Matters</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i w:val="1"/>
          <w:iCs w:val="1"/>
          <w:color w:val="auto"/>
        </w:rPr>
      </w:pPr>
    </w:p>
    <w:p>
      <w:pPr>
        <w:jc w:val="both"/>
        <w:ind w:left="640" w:firstLine="621"/>
        <w:spacing w:after="0" w:line="276" w:lineRule="auto"/>
        <w:tabs>
          <w:tab w:leader="none" w:pos="1896"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accuracy of the representations and warranties of the Investor, made on behalf of itself and the Exchanging Investors, the Exchange, including the issuance of the New Notes in exchange for the Existing Notes pursuant to this Agreement, is exempt from the registration requirements of the Securities Act.</w:t>
      </w:r>
    </w:p>
    <w:p>
      <w:pPr>
        <w:spacing w:after="0" w:line="162" w:lineRule="exact"/>
        <w:rPr>
          <w:rFonts w:ascii="Times New Roman" w:cs="Times New Roman" w:eastAsia="Times New Roman" w:hAnsi="Times New Roman"/>
          <w:sz w:val="17"/>
          <w:szCs w:val="17"/>
          <w:color w:val="auto"/>
        </w:rPr>
      </w:pPr>
    </w:p>
    <w:p>
      <w:pPr>
        <w:jc w:val="both"/>
        <w:ind w:left="640" w:firstLine="621"/>
        <w:spacing w:after="0" w:line="266" w:lineRule="auto"/>
        <w:tabs>
          <w:tab w:leader="none" w:pos="1896"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Affiliates, nor any Person acting on its or their behalf has, directly or indirectly, made, or will make, any offers or sales of any Common Stock or other securities, or solicited or will solicit any offers to buy any Common Stock or other securities, under circumstances that would require registration of the New Notes or Conversion Shares under the Securities Act or cause this offering of the New Notes or Conversion Shares to be integrated with any other offerings by the Company for purposes of any applicable stockholder approval provisions of Nasdaq or any other authority.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jc w:val="both"/>
        <w:ind w:left="620" w:firstLine="621"/>
        <w:spacing w:after="0" w:line="276" w:lineRule="auto"/>
        <w:tabs>
          <w:tab w:leader="none" w:pos="187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is registered pursuant to Section 12(b) of the Exchange Act, and neither the Company nor any of its subsidiaries has taken, or will take, any action designed to terminate, or that is likely to have the effect of terminating, the registration of the Common Stock under the Exchange Act; nor has the Company or any of its subsidiaries received any notification that the SEC is contemplating terminating such registration.</w:t>
      </w:r>
    </w:p>
    <w:p>
      <w:pPr>
        <w:spacing w:after="0" w:line="162" w:lineRule="exact"/>
        <w:rPr>
          <w:rFonts w:ascii="Times New Roman" w:cs="Times New Roman" w:eastAsia="Times New Roman" w:hAnsi="Times New Roman"/>
          <w:sz w:val="17"/>
          <w:szCs w:val="17"/>
          <w:color w:val="auto"/>
        </w:rPr>
      </w:pPr>
    </w:p>
    <w:p>
      <w:pPr>
        <w:jc w:val="both"/>
        <w:ind w:left="620" w:firstLine="621"/>
        <w:spacing w:after="0" w:line="266" w:lineRule="auto"/>
        <w:tabs>
          <w:tab w:leader="none" w:pos="187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and, to the knowledge of the Company, none of its respective officers, directors or Affiliates or anyone acting on any such Person’s behalf has, (i) taken, directly or indirectly, any action designed to cause or to result in the stabilization or manipulation of the price of the Common Stock of any other security of the Company to facilitate the sale or resale of any of the New Notes or Conversion Shares, (ii) sold, bid for, purchased, or paid any compensation for soliciting purchases of, any of the New Notes or Conversion Shares, or (iii) paid or agreed to pay any Person any compensation for soliciting another to purchase any other securities of the Company.</w:t>
      </w:r>
    </w:p>
    <w:p>
      <w:pPr>
        <w:spacing w:after="0" w:line="172" w:lineRule="exact"/>
        <w:rPr>
          <w:rFonts w:ascii="Times New Roman" w:cs="Times New Roman" w:eastAsia="Times New Roman" w:hAnsi="Times New Roman"/>
          <w:sz w:val="17"/>
          <w:szCs w:val="17"/>
          <w:color w:val="auto"/>
        </w:rPr>
      </w:pPr>
    </w:p>
    <w:p>
      <w:pPr>
        <w:jc w:val="both"/>
        <w:ind w:left="620" w:firstLine="621"/>
        <w:spacing w:after="0" w:line="261" w:lineRule="auto"/>
        <w:tabs>
          <w:tab w:leader="none" w:pos="187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in violation of any of the rules, regulations or requirements of Nasdaq, and, to the knowledge of the Company and its subsidiaries, there are no facts or circumstances that would reasonably lead to delisting or suspension or termination of trading of the Common Stock on Nasdaq. Since May 4, 2021, (i) the Common Stock has been listed or designated for quotation, as applicable, on Nasdaq, (ii) trading in the Common Stock has not been suspended by the SEC or Nasdaq, and (iii) neither the Company nor any of its subsidiaries has received any communication, written or oral, from the SEC or Nasdaq regarding the suspension or termination of trading of the Common Stock on Nasdaq (other than the notice received from Nasdaq on May 19, 2021). The execution and delivery by the Company of, and the performance by the Company of its obligations under, this Agreement, the New Notes Indenture, the New Notes and the consummation of the transactions contemplated thereby, including the issuance of the New Notes and Conversion Shares hereunder or thereunder, do not contravene, or require stockholder approval pursuant to, the rules and regulations of Nasdaq. The Conversion Shares have been approved for listing on Nasdaq, subject to official notice of issuance.</w:t>
      </w:r>
    </w:p>
    <w:p>
      <w:pPr>
        <w:spacing w:after="0" w:line="389" w:lineRule="exact"/>
        <w:rPr>
          <w:rFonts w:ascii="Times New Roman" w:cs="Times New Roman" w:eastAsia="Times New Roman" w:hAnsi="Times New Roman"/>
          <w:sz w:val="17"/>
          <w:szCs w:val="17"/>
          <w:color w:val="auto"/>
        </w:rPr>
      </w:pPr>
    </w:p>
    <w:p>
      <w:pPr>
        <w:jc w:val="both"/>
        <w:ind w:left="620" w:firstLine="621"/>
        <w:spacing w:after="0" w:line="264" w:lineRule="auto"/>
        <w:tabs>
          <w:tab w:leader="none" w:pos="187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is, and the New Notes will be, prior to the Closing Date, eligible for clearing through the DTC, through its DWAC system, and the Company is eligible for and participating in the Direct Registration System (DRS) of DTC with respect to the New Notes and Conversion Shares. The Trustee, in its capacity as trustee under the New Notes Indenture, and the transfer agent for the Common Stock are participants in, and the New Notes and Conversion Shares are eligible for transfer pursuant to, DTC’s Fast Automated Securities Transfer Program. The New Notes and Common Stock are not, and have not at any time been, subject to any DTC “chill”, “freeze”, or similar restriction with respect to any DTC services, including the clearing of transactions in shares of Common Stock through DTC.</w:t>
      </w:r>
    </w:p>
    <w:p>
      <w:pPr>
        <w:spacing w:after="0" w:line="175"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for purposes of Rule 144 each Exchanging Investor’s holding period for its New Notes, and any Conversion Shares issuable upon conversion thereof, shall be deemed to have commenced on the date such Exchanging Investor acquired its Existing Notes.</w:t>
      </w:r>
    </w:p>
    <w:p>
      <w:pPr>
        <w:spacing w:after="0" w:line="160" w:lineRule="exact"/>
        <w:rPr>
          <w:rFonts w:ascii="Times New Roman" w:cs="Times New Roman" w:eastAsia="Times New Roman" w:hAnsi="Times New Roman"/>
          <w:sz w:val="17"/>
          <w:szCs w:val="17"/>
          <w:color w:val="auto"/>
        </w:rPr>
      </w:pPr>
    </w:p>
    <w:p>
      <w:pPr>
        <w:jc w:val="both"/>
        <w:ind w:left="-20" w:firstLine="633"/>
        <w:spacing w:after="0" w:line="262" w:lineRule="auto"/>
        <w:tabs>
          <w:tab w:leader="none" w:pos="123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Enforceability of New Notes</w:t>
      </w:r>
      <w:r>
        <w:rPr>
          <w:rFonts w:ascii="Times New Roman" w:cs="Times New Roman" w:eastAsia="Times New Roman" w:hAnsi="Times New Roman"/>
          <w:sz w:val="17"/>
          <w:szCs w:val="17"/>
          <w:color w:val="auto"/>
        </w:rPr>
        <w:t>. Each New Note to be issued pursuant to this Agreement has been duly and validly authorized by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as of the Closing, will have been duly and validly executed and delivered by the Company and, when issued, and delivered in exchange for Existing Notes in the manner provided for in this Agreement and executed and authenticated in the manner provided for in the New Notes Indenture by the New Notes Trustee, will be duly and validly issued, executed and delivered, will constitute a valid and binding obligation of the Company, enforceable against the Company in accordance with its terms, except as enforceability may be limited by applicable bankruptcy, insolvency, fraudulent conveyance, reorganization, moratorium or similar laws affecting creditors’ rights generally or by equitable principles relating to enforceability, including principles of commercial reasonableness, good faith and fair dealing, regardless of whether enforcement is sought in a proceeding at law or in equity, and will be entitled to the benefits of, and be in the form contemplated by, the New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sectPr>
      </w:pPr>
    </w:p>
    <w:bookmarkStart w:id="15" w:name="page16"/>
    <w:bookmarkEnd w:id="15"/>
    <w:p>
      <w:pPr>
        <w:jc w:val="both"/>
        <w:ind w:left="-20" w:firstLine="633"/>
        <w:spacing w:after="0" w:line="263" w:lineRule="auto"/>
        <w:tabs>
          <w:tab w:leader="none" w:pos="123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Enforceability of New Note Guarantees</w:t>
      </w:r>
      <w:r>
        <w:rPr>
          <w:rFonts w:ascii="Times New Roman" w:cs="Times New Roman" w:eastAsia="Times New Roman" w:hAnsi="Times New Roman"/>
          <w:sz w:val="17"/>
          <w:szCs w:val="17"/>
          <w:color w:val="auto"/>
        </w:rPr>
        <w:t>. The Guarantees of each Guarantor have been duly and validly authorized by such Guarantor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assuming the due authorization, execution and delivery of the New Notes Indenture by the New Notes Trustee, when the New Notes are executed by the Company, authenticated by the New Notes Trustee and delivered in exchange for the Existing Notes in the manner provided for in this Agreement, such Guarantees will be duly and validly issued, will constitute a valid and binding obligation of such Guarantor, enforceable against such Guarantor in accordance with their terms, except as enforceability may be limited by applicable bankruptcy, insolvency, fraudulent conveyance, reorganization, moratorium or similar laws affecting creditors’ rights generally or by equitable principles relating to enforceability, including principles of commercial reasonableness, good faith and fair dealing, regardless of whether enforcement is sought in a proceeding at law or in equity, and will be entitled to the benefits of the New Notes Indenture.</w:t>
      </w:r>
    </w:p>
    <w:p>
      <w:pPr>
        <w:spacing w:after="0" w:line="175" w:lineRule="exact"/>
        <w:rPr>
          <w:rFonts w:ascii="Times New Roman" w:cs="Times New Roman" w:eastAsia="Times New Roman" w:hAnsi="Times New Roman"/>
          <w:sz w:val="17"/>
          <w:szCs w:val="17"/>
          <w:i w:val="1"/>
          <w:iCs w:val="1"/>
          <w:color w:val="auto"/>
        </w:rPr>
      </w:pPr>
    </w:p>
    <w:p>
      <w:pPr>
        <w:jc w:val="both"/>
        <w:ind w:left="-20" w:firstLine="633"/>
        <w:spacing w:after="0" w:line="263" w:lineRule="auto"/>
        <w:tabs>
          <w:tab w:leader="none" w:pos="123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Enforceability of New Notes Indenture</w:t>
      </w:r>
      <w:r>
        <w:rPr>
          <w:rFonts w:ascii="Times New Roman" w:cs="Times New Roman" w:eastAsia="Times New Roman" w:hAnsi="Times New Roman"/>
          <w:sz w:val="17"/>
          <w:szCs w:val="17"/>
          <w:color w:val="auto"/>
        </w:rPr>
        <w:t>. The New Notes Indenture has been duly and validly authorized by the Company and each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Guarantors and, as of the Closing will have been duly and validly executed and delivered by the Company and each of the Guarantors, and assuming the due authorization, execution and delivery of the New Notes Indenture by the New Notes Trustee, will constitute a valid and binding obligation of the Company and each of the Guarantors, enforceable against the Company and each of the Guarantors in accordance with its terms, except as enforceability may be limited by applicable bankruptcy, insolvency, fraudulent conveyance, reorganization, moratorium or similar laws affecting creditors’ rights generally or by equitable principles relating to enforceability, including principles of commercial reasonableness, good faith and fair dealing, regardless of whether enforcement is sought in a proceeding at law or in equity.</w:t>
      </w:r>
    </w:p>
    <w:p>
      <w:pPr>
        <w:spacing w:after="0" w:line="175" w:lineRule="exact"/>
        <w:rPr>
          <w:rFonts w:ascii="Times New Roman" w:cs="Times New Roman" w:eastAsia="Times New Roman" w:hAnsi="Times New Roman"/>
          <w:sz w:val="17"/>
          <w:szCs w:val="17"/>
          <w:i w:val="1"/>
          <w:iCs w:val="1"/>
          <w:color w:val="auto"/>
        </w:rPr>
      </w:pPr>
    </w:p>
    <w:p>
      <w:pPr>
        <w:jc w:val="both"/>
        <w:ind w:left="-20" w:firstLine="633"/>
        <w:spacing w:after="0" w:line="260" w:lineRule="auto"/>
        <w:tabs>
          <w:tab w:leader="none" w:pos="123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Security Documents</w:t>
      </w:r>
      <w:r>
        <w:rPr>
          <w:rFonts w:ascii="Times New Roman" w:cs="Times New Roman" w:eastAsia="Times New Roman" w:hAnsi="Times New Roman"/>
          <w:sz w:val="17"/>
          <w:szCs w:val="17"/>
          <w:color w:val="auto"/>
        </w:rPr>
        <w:t>. Each of the Security Documents has been duly and validly authorized, and when executed and delivered by each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the Guarantors party thereto and, assuming the due authorization, execution and delivery of each Security Documents by each other Person party thereto, will constitute a valid and binding obligation of each of the Company and the Guarantors party thereto, enforceable against each of the Company and the Guarantors party thereto in accordance with its terms, except as enforceability may be limited by applicable bankruptcy, insolvency, fraudulent conveyance, reorganization, moratorium or similar laws affecting creditors’ rights generally or by equitable principles relating to enforceability, including principles of commercial reasonableness, good faith and fair dealing, regardless of whether enforcement is sought in a proceeding at law or in equity. The provisions of the Security Agreement (as such term is defined in the New Notes Indenture, the “</w:t>
      </w:r>
      <w:r>
        <w:rPr>
          <w:rFonts w:ascii="Times New Roman" w:cs="Times New Roman" w:eastAsia="Times New Roman" w:hAnsi="Times New Roman"/>
          <w:sz w:val="17"/>
          <w:szCs w:val="17"/>
          <w:b w:val="1"/>
          <w:bCs w:val="1"/>
          <w:color w:val="auto"/>
        </w:rPr>
        <w:t>Security Agreement</w:t>
      </w:r>
      <w:r>
        <w:rPr>
          <w:rFonts w:ascii="Times New Roman" w:cs="Times New Roman" w:eastAsia="Times New Roman" w:hAnsi="Times New Roman"/>
          <w:sz w:val="17"/>
          <w:szCs w:val="17"/>
          <w:color w:val="auto"/>
        </w:rPr>
        <w:t>”) create legal and valid Liens on all the Collateral (as defined in the Security Agreement) in favor of the Collateral Agent, for the benefit of the Secured Parties (as defined in the Security Agreement), and, subject to the Perfection Requirements (as defined in the Security Agreement), so long as such filings and other actions required to be taken hereby, by the New Notes Indenture or by the applicable Security Documents, have been taken, such Liens constitute perfected and continuing Liens on the Article 9 Collateral (to the extent that a Lien thereon can be perfected by the foregoing actions), securing the payment and the performance of the Secured Obligations (as defined in the Security Agreement), enforceable against the Company and each of the Guarantors party thereto subject only to Liens permitted by the New Notes Indenture.</w:t>
      </w:r>
    </w:p>
    <w:p>
      <w:pPr>
        <w:spacing w:after="0" w:line="180" w:lineRule="exact"/>
        <w:rPr>
          <w:rFonts w:ascii="Times New Roman" w:cs="Times New Roman" w:eastAsia="Times New Roman" w:hAnsi="Times New Roman"/>
          <w:sz w:val="17"/>
          <w:szCs w:val="17"/>
          <w:i w:val="1"/>
          <w:iCs w:val="1"/>
          <w:color w:val="auto"/>
        </w:rPr>
      </w:pPr>
    </w:p>
    <w:p>
      <w:pPr>
        <w:jc w:val="both"/>
        <w:ind w:left="-20" w:firstLine="633"/>
        <w:spacing w:after="0" w:line="262" w:lineRule="auto"/>
        <w:tabs>
          <w:tab w:leader="none" w:pos="123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Common Stock Issuable Upon Conversion of New Notes</w:t>
      </w:r>
      <w:r>
        <w:rPr>
          <w:rFonts w:ascii="Times New Roman" w:cs="Times New Roman" w:eastAsia="Times New Roman" w:hAnsi="Times New Roman"/>
          <w:sz w:val="17"/>
          <w:szCs w:val="17"/>
          <w:color w:val="auto"/>
        </w:rPr>
        <w:t>. Subject to the terms of the New Notes Indenture, the New Notes will be convertible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shares of Common Stock, cash or a combination of shares of Common Stock and cash, at the Company’s election (the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The Company has duly authorized, and at all times when the New Notes are outstanding, will reserve (out of its authorized and not outstanding but unissued shares of Common Stock that are not reserved for other purposes) a number of shares of Common Stock sufficient to permit the conversion of all then-outstanding New Notes, assuming (x) “Physical Settlement” of the New Notes will apply to such conversion; and (y) the “Conversion Rate” is 349.6503, as may be adjusted pursuant to Section 5.05 of the New Notes Indenture (each, as defined in the New Notes Indenture) (the “</w:t>
      </w:r>
      <w:r>
        <w:rPr>
          <w:rFonts w:ascii="Times New Roman" w:cs="Times New Roman" w:eastAsia="Times New Roman" w:hAnsi="Times New Roman"/>
          <w:sz w:val="17"/>
          <w:szCs w:val="17"/>
          <w:b w:val="1"/>
          <w:bCs w:val="1"/>
          <w:color w:val="auto"/>
        </w:rPr>
        <w:t>Conversion Shares</w:t>
      </w:r>
      <w:r>
        <w:rPr>
          <w:rFonts w:ascii="Times New Roman" w:cs="Times New Roman" w:eastAsia="Times New Roman" w:hAnsi="Times New Roman"/>
          <w:sz w:val="17"/>
          <w:szCs w:val="17"/>
          <w:color w:val="auto"/>
        </w:rPr>
        <w:t>”), and, when such Conversion Shares are issued upon conversion of the New Notes in accordance with the terms of the New Notes and the New Notes Indenture, such Conversion Shares will be validly issued, fully paid and non-assessable, and the issuance of any such Conversion Shares will not be subject to any preemptive or similar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6" w:name="page17"/>
    <w:bookmarkEnd w:id="16"/>
    <w:p>
      <w:pPr>
        <w:jc w:val="both"/>
        <w:ind w:left="-20" w:firstLine="633"/>
        <w:spacing w:after="0" w:line="261" w:lineRule="auto"/>
        <w:tabs>
          <w:tab w:leader="none" w:pos="123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Commercially Reasonable Efforts In Connection With Conversion of New Notes</w:t>
      </w:r>
      <w:r>
        <w:rPr>
          <w:rFonts w:ascii="Times New Roman" w:cs="Times New Roman" w:eastAsia="Times New Roman" w:hAnsi="Times New Roman"/>
          <w:sz w:val="17"/>
          <w:szCs w:val="17"/>
          <w:color w:val="auto"/>
        </w:rPr>
        <w:t>. Upon the Investor’s written request, the Company shall 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commercially reasonable efforts to take all steps as may be necessary to obtain all waiting period expirations or terminations, consents, clearances, waivers, licenses, registrations, permits, authorizations, orders and approvals necessary, proper or advisable to be obtained from any third party and/or any governmental entity in connection with the Conversion as promptly as practicable after the date of such written request. In furtherance and not in limitation of the foregoing, upon written request of the Investor, the Company agrees to make an appropriate filing of a Notification and Report Form pursuant to the Hart-Scott-Rodino Antitrust Improvements Act of 1976, as amended, and the rules and regulations promulgated thereunder (the “</w:t>
      </w:r>
      <w:r>
        <w:rPr>
          <w:rFonts w:ascii="Times New Roman" w:cs="Times New Roman" w:eastAsia="Times New Roman" w:hAnsi="Times New Roman"/>
          <w:sz w:val="17"/>
          <w:szCs w:val="17"/>
          <w:b w:val="1"/>
          <w:bCs w:val="1"/>
          <w:color w:val="auto"/>
        </w:rPr>
        <w:t>HSR Act</w:t>
      </w:r>
      <w:r>
        <w:rPr>
          <w:rFonts w:ascii="Times New Roman" w:cs="Times New Roman" w:eastAsia="Times New Roman" w:hAnsi="Times New Roman"/>
          <w:sz w:val="17"/>
          <w:szCs w:val="17"/>
          <w:color w:val="auto"/>
        </w:rPr>
        <w:t>”) with respect to the Conversion, as promptly as practicable following a written request from the Investor, and in any event within ten (10) Business Days after such a request (unless a later date is mutually agreed between the Company and the Investor), and to supply as promptly as practicable any additional information and documentary materials that may be requested pursuant to the HSR Act and to use commercially reasonable efforts to take all other actions necessary to cause the expiration or termination of the applicable waiting periods under the HSR Act as soon as practicable.</w:t>
      </w:r>
    </w:p>
    <w:p>
      <w:pPr>
        <w:spacing w:after="0" w:line="176" w:lineRule="exact"/>
        <w:rPr>
          <w:rFonts w:ascii="Times New Roman" w:cs="Times New Roman" w:eastAsia="Times New Roman" w:hAnsi="Times New Roman"/>
          <w:sz w:val="17"/>
          <w:szCs w:val="17"/>
          <w:i w:val="1"/>
          <w:iCs w:val="1"/>
          <w:color w:val="auto"/>
        </w:rPr>
      </w:pPr>
    </w:p>
    <w:p>
      <w:pPr>
        <w:ind w:left="-20" w:firstLine="633"/>
        <w:spacing w:after="0" w:line="298" w:lineRule="auto"/>
        <w:tabs>
          <w:tab w:leader="none" w:pos="123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Trust Indenture Act</w:t>
      </w:r>
      <w:r>
        <w:rPr>
          <w:rFonts w:ascii="Times New Roman" w:cs="Times New Roman" w:eastAsia="Times New Roman" w:hAnsi="Times New Roman"/>
          <w:sz w:val="17"/>
          <w:szCs w:val="17"/>
          <w:color w:val="auto"/>
        </w:rPr>
        <w:t>. Assuming the accuracy of the representations and warranties of the Investor, made on behalf of itself and the Exchanging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Investors, it is not necessary to qualify the New Notes Indenture under the Trust Indenture Act in connection with the Exchange.</w:t>
      </w:r>
    </w:p>
    <w:p>
      <w:pPr>
        <w:spacing w:after="0" w:line="142" w:lineRule="exact"/>
        <w:rPr>
          <w:rFonts w:ascii="Times New Roman" w:cs="Times New Roman" w:eastAsia="Times New Roman" w:hAnsi="Times New Roman"/>
          <w:sz w:val="17"/>
          <w:szCs w:val="17"/>
          <w:i w:val="1"/>
          <w:iCs w:val="1"/>
          <w:color w:val="auto"/>
        </w:rPr>
      </w:pPr>
    </w:p>
    <w:p>
      <w:pPr>
        <w:jc w:val="both"/>
        <w:ind w:left="-20" w:firstLine="633"/>
        <w:spacing w:after="0" w:line="262" w:lineRule="auto"/>
        <w:tabs>
          <w:tab w:leader="none" w:pos="123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The execution and delivery by the Company and the Guarantors of, and the performance by the Company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Guarantors of their respective obligations under, this Agreement, the New Notes Indenture, the New Notes, the Guarantees and the Security Documents, and the consummation of the transactions contemplated by this Agreement, the New Notes Indenture, the New Notes, the Guarantees and the Security Documents, will not (i) contravene any law, rule or regulation binding on the Company, any Guarantor or any of their respective subsidiaries or any judgment or order of any court or arbitrator or governmental or regulatory authority applicable to the Company, any Guarantor or any such subsidiary; (ii) constitute a breach or violation or result in a default under or give rise to a right of termination, cancellation or acceleration of any obligation under any loan agreement, mortgage, lease, franchise, permit, license, or other agreement or instrument to which the Company, any Guarantor or any of their respective subsidiaries is a party or any judgment, order, statute, law, ordinance, rule or regulation by which the Company or any Guarantor is bound; or (iii) constitute a breach or violation or result in a default under the organizational documents of the Company, any Guarantor or any of their respective subsidiaries.</w:t>
      </w:r>
    </w:p>
    <w:p>
      <w:pPr>
        <w:spacing w:after="0" w:line="172" w:lineRule="exact"/>
        <w:rPr>
          <w:rFonts w:ascii="Times New Roman" w:cs="Times New Roman" w:eastAsia="Times New Roman" w:hAnsi="Times New Roman"/>
          <w:sz w:val="17"/>
          <w:szCs w:val="17"/>
          <w:i w:val="1"/>
          <w:iCs w:val="1"/>
          <w:color w:val="auto"/>
        </w:rPr>
      </w:pPr>
    </w:p>
    <w:p>
      <w:pPr>
        <w:jc w:val="both"/>
        <w:ind w:left="-20" w:firstLine="633"/>
        <w:spacing w:after="0" w:line="265" w:lineRule="auto"/>
        <w:tabs>
          <w:tab w:leader="none" w:pos="123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Consents</w:t>
      </w:r>
      <w:r>
        <w:rPr>
          <w:rFonts w:ascii="Times New Roman" w:cs="Times New Roman" w:eastAsia="Times New Roman" w:hAnsi="Times New Roman"/>
          <w:sz w:val="17"/>
          <w:szCs w:val="17"/>
          <w:color w:val="auto"/>
        </w:rPr>
        <w:t>. No consent, approval, authorization, order, license, filing, registration or qualification of or with any court or governmental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regulatory authority is required for the execution and delivery by the Company and the Guarantors of, and the performance by the Company and the Guarantors of their respective obligations under, this Agreement, the New Notes Indenture, the New Notes, the Guarantees and the Security Documents, and the consummation of the transactions contemplated by this Agreement, the New Notes Indenture, the New Notes, the Guarantees and the Security Documents, except (i) such as have been obtained or made (or will, at the Closing, have been obtained or made), (ii) any filings as may be required under the Exchange Act and (iii) such as are expressly contemplated by the Security Documents in order to perfect the Liens granted thereunder.</w:t>
      </w:r>
    </w:p>
    <w:p>
      <w:pPr>
        <w:spacing w:after="0" w:line="170" w:lineRule="exact"/>
        <w:rPr>
          <w:rFonts w:ascii="Times New Roman" w:cs="Times New Roman" w:eastAsia="Times New Roman" w:hAnsi="Times New Roman"/>
          <w:sz w:val="17"/>
          <w:szCs w:val="17"/>
          <w:i w:val="1"/>
          <w:iCs w:val="1"/>
          <w:color w:val="auto"/>
        </w:rPr>
      </w:pPr>
    </w:p>
    <w:p>
      <w:pPr>
        <w:jc w:val="both"/>
        <w:ind w:left="-20" w:firstLine="633"/>
        <w:spacing w:after="0" w:line="265" w:lineRule="auto"/>
        <w:tabs>
          <w:tab w:leader="none" w:pos="123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Authorization, Execution and Delivery of this Agreement</w:t>
      </w:r>
      <w:r>
        <w:rPr>
          <w:rFonts w:ascii="Times New Roman" w:cs="Times New Roman" w:eastAsia="Times New Roman" w:hAnsi="Times New Roman"/>
          <w:sz w:val="17"/>
          <w:szCs w:val="17"/>
          <w:color w:val="auto"/>
        </w:rPr>
        <w:t>. The execution and delivery of this Agreement, the New Notes Indenture, the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the Guarantees and the Security Documents and the consummation by the Company and the Guarantors of the transactions contemplated hereby and thereby, including, without limitation, the issuance of the New Notes, have been duly authorized, executed and delivered by the governing bodies of the Company and the Guarantors, respectively, and no further filing, consent, or authorization is required by the Company or any Guarantor. This Agreement has been duly executed and delivered by the Company and each Guarantor, and constitutes the legal, valid, and binding obligation of the Company and each Guarantor, enforceable against the Company and each Guarantor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7" w:name="page18"/>
    <w:bookmarkEnd w:id="17"/>
    <w:p>
      <w:pPr>
        <w:jc w:val="both"/>
        <w:ind w:left="-20" w:firstLine="633"/>
        <w:spacing w:after="0" w:line="267" w:lineRule="auto"/>
        <w:tabs>
          <w:tab w:leader="none" w:pos="123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Investment Company Act</w:t>
      </w:r>
      <w:r>
        <w:rPr>
          <w:rFonts w:ascii="Times New Roman" w:cs="Times New Roman" w:eastAsia="Times New Roman" w:hAnsi="Times New Roman"/>
          <w:sz w:val="17"/>
          <w:szCs w:val="17"/>
          <w:color w:val="auto"/>
        </w:rPr>
        <w:t>. Neither the Company nor any of the Guarantors is an open-end investment company, unit investment trust or a face-amount certificate company that is or is required to be registered under Section 8 of the United States Investment Company Act of 1940, as amended, and the rules and regulations of the SEC thereunder (collectively, the “</w:t>
      </w:r>
      <w:r>
        <w:rPr>
          <w:rFonts w:ascii="Times New Roman" w:cs="Times New Roman" w:eastAsia="Times New Roman" w:hAnsi="Times New Roman"/>
          <w:sz w:val="17"/>
          <w:szCs w:val="17"/>
          <w:b w:val="1"/>
          <w:bCs w:val="1"/>
          <w:color w:val="auto"/>
        </w:rPr>
        <w:t>Investment Company Act</w:t>
      </w:r>
      <w:r>
        <w:rPr>
          <w:rFonts w:ascii="Times New Roman" w:cs="Times New Roman" w:eastAsia="Times New Roman" w:hAnsi="Times New Roman"/>
          <w:sz w:val="17"/>
          <w:szCs w:val="17"/>
          <w:color w:val="auto"/>
        </w:rPr>
        <w:t>”), and, after giving effect to the transactions contemplated by this Agreement, none of them will be, required to register as an “investment company” or an entity “controlled” by an “investment company” within the meaning of the Investment Company Act of 1940, as amended, and the rules and regulations of the SEC thereunder.</w:t>
      </w:r>
    </w:p>
    <w:p>
      <w:pPr>
        <w:spacing w:after="0" w:line="168" w:lineRule="exact"/>
        <w:rPr>
          <w:rFonts w:ascii="Times New Roman" w:cs="Times New Roman" w:eastAsia="Times New Roman" w:hAnsi="Times New Roman"/>
          <w:sz w:val="17"/>
          <w:szCs w:val="17"/>
          <w:i w:val="1"/>
          <w:iCs w:val="1"/>
          <w:color w:val="auto"/>
        </w:rPr>
      </w:pPr>
    </w:p>
    <w:p>
      <w:pPr>
        <w:jc w:val="both"/>
        <w:ind w:left="-20" w:firstLine="633"/>
        <w:spacing w:after="0" w:line="260" w:lineRule="auto"/>
        <w:tabs>
          <w:tab w:leader="none" w:pos="123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Required Filings; Accuracy of Covered SEC Filings</w:t>
      </w:r>
      <w:r>
        <w:rPr>
          <w:rFonts w:ascii="Times New Roman" w:cs="Times New Roman" w:eastAsia="Times New Roman" w:hAnsi="Times New Roman"/>
          <w:sz w:val="17"/>
          <w:szCs w:val="17"/>
          <w:color w:val="auto"/>
        </w:rPr>
        <w:t>. Since December 31, 2024, the Company has timely filed or furnished all documents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filed with or furnished to the SEC under the Exchange Act or the Securities Act, including those required to be filed with or furnished to the SEC under Section 13(a) or Section 15(d) of the Exchange Act (all documents filed or furnished during such period, including any amendments thereto, the “</w:t>
      </w:r>
      <w:r>
        <w:rPr>
          <w:rFonts w:ascii="Times New Roman" w:cs="Times New Roman" w:eastAsia="Times New Roman" w:hAnsi="Times New Roman"/>
          <w:sz w:val="17"/>
          <w:szCs w:val="17"/>
          <w:b w:val="1"/>
          <w:bCs w:val="1"/>
          <w:i w:val="1"/>
          <w:iCs w:val="1"/>
          <w:color w:val="auto"/>
        </w:rPr>
        <w:t>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 Filings</w:t>
      </w:r>
      <w:r>
        <w:rPr>
          <w:rFonts w:ascii="Times New Roman" w:cs="Times New Roman" w:eastAsia="Times New Roman" w:hAnsi="Times New Roman"/>
          <w:sz w:val="17"/>
          <w:szCs w:val="17"/>
          <w:color w:val="auto"/>
        </w:rPr>
        <w:t>”). As of their respective dates, the Covered SEC Filings (i) complied in all material respects with the requirements of the Securities Act 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Exchange Act, as applicable, and other applicable securities laws, and (ii) do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representation is made in this clause (ii) with respect to any Covered SEC Filings which are furnished to the SEC and not filed under the Exchange Act or the Securities Act. The financial statements (including the related notes thereto) of the Company and its consolidated subsidiaries which are included in the Covered SEC filings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To the Company’s knowledge, no person who has been suspended or barred from being associated with a registered public accounting firm, or who has failed to comply with any sanction pursuant to Rule 5300 promulgated by the Public Company Accounting Oversight Board, has participated in or otherwise aided the preparation of, or audited, the financial statements, supporting schedules or other financial data in the Covered SEC filings.</w:t>
      </w:r>
    </w:p>
    <w:p>
      <w:pPr>
        <w:spacing w:after="0" w:line="175" w:lineRule="exact"/>
        <w:rPr>
          <w:rFonts w:ascii="Times New Roman" w:cs="Times New Roman" w:eastAsia="Times New Roman" w:hAnsi="Times New Roman"/>
          <w:sz w:val="17"/>
          <w:szCs w:val="17"/>
          <w:i w:val="1"/>
          <w:iCs w:val="1"/>
          <w:color w:val="auto"/>
        </w:rPr>
      </w:pPr>
    </w:p>
    <w:p>
      <w:pPr>
        <w:ind w:left="-20" w:firstLine="633"/>
        <w:spacing w:after="0" w:line="298" w:lineRule="auto"/>
        <w:tabs>
          <w:tab w:leader="none" w:pos="123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On or prior to the Closing Date, the Company shall pay the reasonable and documented out-of-pocket costs and expenses incurred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Investor and the Exchanging Investors in connection with the entrance into and performance of the obligations contemplated by this Agreement.</w:t>
      </w:r>
    </w:p>
    <w:p>
      <w:pPr>
        <w:spacing w:after="0" w:line="142" w:lineRule="exact"/>
        <w:rPr>
          <w:rFonts w:ascii="Times New Roman" w:cs="Times New Roman" w:eastAsia="Times New Roman" w:hAnsi="Times New Roman"/>
          <w:sz w:val="17"/>
          <w:szCs w:val="17"/>
          <w:i w:val="1"/>
          <w:iCs w:val="1"/>
          <w:color w:val="auto"/>
        </w:rPr>
      </w:pPr>
    </w:p>
    <w:p>
      <w:pPr>
        <w:jc w:val="both"/>
        <w:ind w:left="-20" w:firstLine="633"/>
        <w:spacing w:after="0" w:line="259" w:lineRule="auto"/>
        <w:tabs>
          <w:tab w:leader="none" w:pos="123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Capitalization and Other Capital Stock Matters</w:t>
      </w:r>
      <w:r>
        <w:rPr>
          <w:rFonts w:ascii="Times New Roman" w:cs="Times New Roman" w:eastAsia="Times New Roman" w:hAnsi="Times New Roman"/>
          <w:sz w:val="17"/>
          <w:szCs w:val="17"/>
          <w:color w:val="auto"/>
        </w:rPr>
        <w:t>. As of May 20, 2025, the Company is authorized to issue 320,000,000 shares of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and as of such date, there were 126,012,451 shares of Common Stock issued and outstanding, 23,266,574 shares of Common Stock issuable upon conversion of the Existing Notes (based on the initial maximum conversion rate pursuant to the Existing Indenture), 3,023,820 unvested options, 14,623,878 unvested restricted stock units, 2,845,617 unvested performance stock units, and 6,970,000 warrants outstanding. All of the issued and outstanding capital stock of the Company has been duly authorized and validly issued, is fully paid and nonassessable and has been issued in compliance with all federal and state securities laws. None of the outstanding capital stock was issued in violation of any preemptive or similar rights, rights of first refusal or other similar rights to subscribe for or purchase securities of the Company. There are no authorized or outstanding options, warrants, preemptive rights, rights of first refusal or other rights to purchase, or equity or debt securities or instruments convertible into or exchangeable or exercisable for, any capital stock of the Company or any of its subsidiaries other than those described above. The execution, delivery and performance by the Company and the Guarantors of their respective obligations under, this Agreement, the New Notes Indenture, the New Notes, the Guarantees and the Security Documents, and the consummation of the transactions contemplated by this Agreement, the New Notes Indenture, the New Notes, the Guarantees and the Security Documents, the consummation of the Exchange and the issuance of the Conversion Shares upon conversion of the New Notes will not: (A) obligate the Company to offer to issue, or issue, shares of capital stock or other securities to any Person (other than the Investor); or (B) result in a right of any holder of the Company’s securities to adjust the exercise, conversion, exchange or reset price under, and will not result in any other anti-dilution or other adjustments (automatic or otherwise) under, any securities of the Company, and the accuracy of the representation in this clause (B) shall not require any consent or waiver by the Company’s equity holders, warrant holders or other security holders in respect of any anti-dilution provision or other adjustment or similar provision of any class or series of stock of the Company, that would otherwise be triggered by reason of the transactions contemplated hereby or by any other related documents.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8" w:name="page19"/>
    <w:bookmarkEnd w:id="18"/>
    <w:p>
      <w:pPr>
        <w:jc w:val="both"/>
        <w:ind w:firstLine="633"/>
        <w:spacing w:after="0" w:line="260" w:lineRule="auto"/>
        <w:tabs>
          <w:tab w:leader="none" w:pos="125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Material Adverse Change</w:t>
      </w:r>
      <w:r>
        <w:rPr>
          <w:rFonts w:ascii="Times New Roman" w:cs="Times New Roman" w:eastAsia="Times New Roman" w:hAnsi="Times New Roman"/>
          <w:sz w:val="17"/>
          <w:szCs w:val="17"/>
          <w:color w:val="auto"/>
        </w:rPr>
        <w:t>. Since December 31, 2024, (i) there has been no material adverse change, or any development that could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to result in a material adverse change, in the condition, financial or otherwise, or in the earnings, business, operations, operating results, assets, liabilities or prospects, whether or not arising from transactions in the ordinary course of business, of the Company and its subsidiaries, considered as one entity, or in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7"/>
          <w:szCs w:val="17"/>
          <w:b w:val="1"/>
          <w:bCs w:val="1"/>
          <w:color w:val="auto"/>
        </w:rPr>
        <w:t>Material Adverse Change</w:t>
      </w:r>
      <w:r>
        <w:rPr>
          <w:rFonts w:ascii="Times New Roman" w:cs="Times New Roman" w:eastAsia="Times New Roman" w:hAnsi="Times New Roman"/>
          <w:sz w:val="17"/>
          <w:szCs w:val="17"/>
          <w:color w:val="auto"/>
        </w:rPr>
        <w:t>”); (ii) other than as contemplated by this Agreement,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80" w:lineRule="exact"/>
        <w:rPr>
          <w:rFonts w:ascii="Times New Roman" w:cs="Times New Roman" w:eastAsia="Times New Roman" w:hAnsi="Times New Roman"/>
          <w:sz w:val="17"/>
          <w:szCs w:val="17"/>
          <w:i w:val="1"/>
          <w:iCs w:val="1"/>
          <w:color w:val="auto"/>
        </w:rPr>
      </w:pPr>
    </w:p>
    <w:p>
      <w:pPr>
        <w:jc w:val="both"/>
        <w:ind w:firstLine="633"/>
        <w:spacing w:after="0" w:line="267" w:lineRule="auto"/>
        <w:tabs>
          <w:tab w:leader="none" w:pos="125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Disclosure of Material Non-Public Information</w:t>
      </w:r>
      <w:r>
        <w:rPr>
          <w:rFonts w:ascii="Times New Roman" w:cs="Times New Roman" w:eastAsia="Times New Roman" w:hAnsi="Times New Roman"/>
          <w:sz w:val="17"/>
          <w:szCs w:val="17"/>
          <w:color w:val="auto"/>
        </w:rPr>
        <w:t>. The Company has not disclosed to the Investor or any Exchanging Investor any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non-public information with respect to the Company other than any such information that the Company shall publicly disclose via press release or Current Report on Form 8-K as soon as reasonably practicable, but in no event later than (i) 9:30 a.m. New York City time on the first Business Day following the date of this Agreement if this Agreement is entered into at or after 9:01 a.m. New York City time or (ii) 9:30 a.m. New York City time on the date of this Agreement if this Agreement is entered into at or before 9:00 a.m. New York City time (such time and date, the “</w:t>
      </w:r>
      <w:r>
        <w:rPr>
          <w:rFonts w:ascii="Times New Roman" w:cs="Times New Roman" w:eastAsia="Times New Roman" w:hAnsi="Times New Roman"/>
          <w:sz w:val="17"/>
          <w:szCs w:val="17"/>
          <w:b w:val="1"/>
          <w:bCs w:val="1"/>
          <w:color w:val="auto"/>
        </w:rPr>
        <w:t>Release Time</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i w:val="1"/>
          <w:iCs w:val="1"/>
          <w:color w:val="auto"/>
        </w:rPr>
      </w:pPr>
    </w:p>
    <w:p>
      <w:pPr>
        <w:jc w:val="both"/>
        <w:ind w:firstLine="633"/>
        <w:spacing w:after="0" w:line="264" w:lineRule="auto"/>
        <w:tabs>
          <w:tab w:leader="none" w:pos="125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[Materially Similar Terms and Conditions</w:t>
      </w:r>
      <w:r>
        <w:rPr>
          <w:rFonts w:ascii="Times New Roman" w:cs="Times New Roman" w:eastAsia="Times New Roman" w:hAnsi="Times New Roman"/>
          <w:sz w:val="17"/>
          <w:szCs w:val="17"/>
          <w:color w:val="auto"/>
        </w:rPr>
        <w:t>(w)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has not and will not enter into an agreement prior to the Closing with any 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any Existing Notes other than the Investor and each Exchanging Investor that entitles such holder to participate in the Exchange or any similar exchange on terms or conditions that are more favorable to such holder in any respect than the terms and conditions applicable to the Exchange by the Investor and each of the Exchanging Investors; </w:t>
      </w:r>
      <w:r>
        <w:rPr>
          <w:rFonts w:ascii="Times New Roman" w:cs="Times New Roman" w:eastAsia="Times New Roman" w:hAnsi="Times New Roman"/>
          <w:sz w:val="17"/>
          <w:szCs w:val="17"/>
          <w:b w:val="1"/>
          <w:bCs w:val="1"/>
          <w:i w:val="1"/>
          <w:iCs w:val="1"/>
          <w:u w:val="single" w:color="auto"/>
          <w:color w:val="auto"/>
        </w:rPr>
        <w:t>provided however</w:t>
      </w:r>
      <w:r>
        <w:rPr>
          <w:rFonts w:ascii="Times New Roman" w:cs="Times New Roman" w:eastAsia="Times New Roman" w:hAnsi="Times New Roman"/>
          <w:sz w:val="17"/>
          <w:szCs w:val="17"/>
          <w:color w:val="auto"/>
        </w:rPr>
        <w:t>, the Company may enter into an agreement to exchange or repurchase the Existing Notes for different consideration (i) to the extent permitted pursuant to the last paragraph of Section 3.15 of the New Notes Indenture or Section 3.08(S) as if the New Notes Indenture were effective during such period and (ii) pursuant to exchange agreements, executed copies of which were provided to the Investor on the date hereof.]</w:t>
      </w:r>
    </w:p>
    <w:p>
      <w:pPr>
        <w:spacing w:after="0" w:line="386" w:lineRule="exact"/>
        <w:rPr>
          <w:sz w:val="20"/>
          <w:szCs w:val="20"/>
          <w:color w:val="auto"/>
        </w:rPr>
      </w:pPr>
    </w:p>
    <w:p>
      <w:pPr>
        <w:jc w:val="both"/>
        <w:ind w:firstLine="628"/>
        <w:spacing w:after="0" w:line="288" w:lineRule="auto"/>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5. </w:t>
      </w:r>
      <w:r>
        <w:rPr>
          <w:rFonts w:ascii="Times New Roman" w:cs="Times New Roman" w:eastAsia="Times New Roman" w:hAnsi="Times New Roman"/>
          <w:sz w:val="17"/>
          <w:szCs w:val="17"/>
          <w:u w:val="single" w:color="auto"/>
          <w:color w:val="auto"/>
        </w:rPr>
        <w:t>R</w:t>
      </w:r>
      <w:r>
        <w:rPr>
          <w:rFonts w:ascii="Times New Roman" w:cs="Times New Roman" w:eastAsia="Times New Roman" w:hAnsi="Times New Roman"/>
          <w:sz w:val="11"/>
          <w:szCs w:val="11"/>
          <w:u w:val="single" w:color="auto"/>
          <w:color w:val="auto"/>
        </w:rPr>
        <w:t>epresentations</w:t>
      </w:r>
      <w:r>
        <w:rPr>
          <w:rFonts w:ascii="Times New Roman" w:cs="Times New Roman" w:eastAsia="Times New Roman" w:hAnsi="Times New Roman"/>
          <w:sz w:val="17"/>
          <w:szCs w:val="17"/>
          <w:u w:val="single" w:color="auto"/>
          <w:color w:val="auto"/>
        </w:rPr>
        <w:t>, W</w:t>
      </w:r>
      <w:r>
        <w:rPr>
          <w:rFonts w:ascii="Times New Roman" w:cs="Times New Roman" w:eastAsia="Times New Roman" w:hAnsi="Times New Roman"/>
          <w:sz w:val="11"/>
          <w:szCs w:val="11"/>
          <w:u w:val="single" w:color="auto"/>
          <w:color w:val="auto"/>
        </w:rPr>
        <w:t>arranties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1"/>
          <w:szCs w:val="11"/>
          <w:u w:val="single" w:color="auto"/>
          <w:color w:val="auto"/>
        </w:rPr>
        <w:t>ovenants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1"/>
          <w:szCs w:val="11"/>
          <w:u w:val="single" w:color="auto"/>
          <w:color w:val="auto"/>
        </w:rPr>
        <w:t>nvestor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1"/>
          <w:szCs w:val="11"/>
          <w:u w:val="single" w:color="auto"/>
          <w:color w:val="auto"/>
        </w:rPr>
        <w:t>xchanging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1"/>
          <w:szCs w:val="11"/>
          <w:u w:val="single" w:color="auto"/>
          <w:color w:val="auto"/>
        </w:rPr>
        <w:t>nvestors</w:t>
      </w:r>
      <w:r>
        <w:rPr>
          <w:rFonts w:ascii="Times New Roman" w:cs="Times New Roman" w:eastAsia="Times New Roman" w:hAnsi="Times New Roman"/>
          <w:sz w:val="17"/>
          <w:szCs w:val="17"/>
          <w:color w:val="auto"/>
        </w:rPr>
        <w:t>. T</w:t>
      </w:r>
      <w:r>
        <w:rPr>
          <w:rFonts w:ascii="Times New Roman" w:cs="Times New Roman" w:eastAsia="Times New Roman" w:hAnsi="Times New Roman"/>
          <w:sz w:val="11"/>
          <w:szCs w:val="11"/>
          <w:color w:val="auto"/>
        </w:rPr>
        <w:t>he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1"/>
          <w:szCs w:val="11"/>
          <w:color w:val="auto"/>
        </w:rPr>
        <w:t>nvestor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1"/>
          <w:szCs w:val="11"/>
          <w:color w:val="auto"/>
        </w:rPr>
        <w:t>for itself and on behalf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1"/>
          <w:szCs w:val="11"/>
          <w:color w:val="auto"/>
        </w:rPr>
        <w:t xml:space="preserve">each </w:t>
      </w:r>
      <w:r>
        <w:rPr>
          <w:rFonts w:ascii="Times New Roman" w:cs="Times New Roman" w:eastAsia="Times New Roman" w:hAnsi="Times New Roman"/>
          <w:sz w:val="17"/>
          <w:szCs w:val="17"/>
          <w:color w:val="auto"/>
        </w:rPr>
        <w:t>E</w:t>
      </w:r>
      <w:r>
        <w:rPr>
          <w:rFonts w:ascii="Times New Roman" w:cs="Times New Roman" w:eastAsia="Times New Roman" w:hAnsi="Times New Roman"/>
          <w:sz w:val="11"/>
          <w:szCs w:val="11"/>
          <w:color w:val="auto"/>
        </w:rPr>
        <w:t xml:space="preserve">xchanging </w:t>
      </w:r>
      <w:r>
        <w:rPr>
          <w:rFonts w:ascii="Times New Roman" w:cs="Times New Roman" w:eastAsia="Times New Roman" w:hAnsi="Times New Roman"/>
          <w:sz w:val="17"/>
          <w:szCs w:val="17"/>
          <w:color w:val="auto"/>
        </w:rPr>
        <w:t>I</w:t>
      </w:r>
      <w:r>
        <w:rPr>
          <w:rFonts w:ascii="Times New Roman" w:cs="Times New Roman" w:eastAsia="Times New Roman" w:hAnsi="Times New Roman"/>
          <w:sz w:val="11"/>
          <w:szCs w:val="11"/>
          <w:color w:val="auto"/>
        </w:rPr>
        <w:t>nvestor</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 xml:space="preserve"> severally and not jointly</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 xml:space="preserve"> represents and warrants to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1"/>
          <w:szCs w:val="11"/>
          <w:color w:val="auto"/>
        </w:rPr>
        <w:t xml:space="preserve">ompany and the </w:t>
      </w:r>
      <w:r>
        <w:rPr>
          <w:rFonts w:ascii="Times New Roman" w:cs="Times New Roman" w:eastAsia="Times New Roman" w:hAnsi="Times New Roman"/>
          <w:sz w:val="17"/>
          <w:szCs w:val="17"/>
          <w:color w:val="auto"/>
        </w:rPr>
        <w:t>G</w:t>
      </w:r>
      <w:r>
        <w:rPr>
          <w:rFonts w:ascii="Times New Roman" w:cs="Times New Roman" w:eastAsia="Times New Roman" w:hAnsi="Times New Roman"/>
          <w:sz w:val="11"/>
          <w:szCs w:val="11"/>
          <w:color w:val="auto"/>
        </w:rPr>
        <w:t>uarantors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 xml:space="preserve"> effective as of the date hereof and as of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1"/>
          <w:szCs w:val="11"/>
          <w:color w:val="auto"/>
        </w:rPr>
        <w:t>losing</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 xml:space="preserve"> and covenants that</w:t>
      </w:r>
      <w:r>
        <w:rPr>
          <w:rFonts w:ascii="Times New Roman" w:cs="Times New Roman" w:eastAsia="Times New Roman" w:hAnsi="Times New Roman"/>
          <w:sz w:val="17"/>
          <w:szCs w:val="17"/>
          <w:color w:val="auto"/>
        </w:rPr>
        <w:t>:</w:t>
      </w:r>
    </w:p>
    <w:p>
      <w:pPr>
        <w:spacing w:after="0" w:line="366" w:lineRule="exact"/>
        <w:rPr>
          <w:sz w:val="20"/>
          <w:szCs w:val="20"/>
          <w:color w:val="auto"/>
        </w:rPr>
      </w:pPr>
    </w:p>
    <w:p>
      <w:pPr>
        <w:jc w:val="both"/>
        <w:ind w:firstLine="633"/>
        <w:spacing w:after="0" w:line="269" w:lineRule="auto"/>
        <w:tabs>
          <w:tab w:leader="none" w:pos="1256"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Due Formation, Valid Existence and Good Standing; Authorization, Execution and Delivery of this Agreement</w:t>
      </w:r>
      <w:r>
        <w:rPr>
          <w:rFonts w:ascii="Times New Roman" w:cs="Times New Roman" w:eastAsia="Times New Roman" w:hAnsi="Times New Roman"/>
          <w:sz w:val="17"/>
          <w:szCs w:val="17"/>
          <w:color w:val="auto"/>
        </w:rPr>
        <w:t>. The Investor, for itself and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behalf of each Exchanging Investor, (i) is duly formed, validly existing and in good standing under the laws of the jurisdiction of its organization with full power and authority to exchange, sell, assign and transfer the Existing Notes to be exchanged pursuant to, and to enter into, this Agreement and perform all obligations required to be performed by the Investor or such Exchanging Investor under this Agreement; and (ii) has duly authorized, executed and delivered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jc w:val="both"/>
        <w:ind w:firstLine="633"/>
        <w:spacing w:after="0" w:line="265" w:lineRule="auto"/>
        <w:tabs>
          <w:tab w:leader="none" w:pos="125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Power to Perform Obligations and Bind Accounts; Survival of Authority</w:t>
      </w:r>
      <w:r>
        <w:rPr>
          <w:rFonts w:ascii="Times New Roman" w:cs="Times New Roman" w:eastAsia="Times New Roman" w:hAnsi="Times New Roman"/>
          <w:sz w:val="17"/>
          <w:szCs w:val="17"/>
          <w:color w:val="auto"/>
        </w:rPr>
        <w:t>. If the Investor is exchanging any Existing Notes or acquiring any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Exchange Consideration as a fiduciary or agent for one or more accounts (including any Accounts that are Exchanging Investors), then the Investor represents that it has (i) the requisite investment discretion with respect to each such account necessary to effect the Exchange; (ii) full power to make the representations, warranties and covenants set forth in this </w:t>
      </w:r>
      <w:r>
        <w:rPr>
          <w:rFonts w:ascii="Times New Roman" w:cs="Times New Roman" w:eastAsia="Times New Roman" w:hAnsi="Times New Roman"/>
          <w:sz w:val="17"/>
          <w:szCs w:val="17"/>
          <w:b w:val="1"/>
          <w:bCs w:val="1"/>
          <w:color w:val="auto"/>
        </w:rPr>
        <w:t>Section 5</w:t>
      </w:r>
      <w:r>
        <w:rPr>
          <w:rFonts w:ascii="Times New Roman" w:cs="Times New Roman" w:eastAsia="Times New Roman" w:hAnsi="Times New Roman"/>
          <w:sz w:val="17"/>
          <w:szCs w:val="17"/>
          <w:color w:val="auto"/>
        </w:rPr>
        <w:t xml:space="preserve"> on behalf of such account; and (iii) contractual authority with respect to each such account. All authority conferred in this Agreement will survive the dissolution of the Investor, and any representation, warranty, undertaking and obligation of the Investor under this Agreement will be binding upon the trustees in bankruptcy, legal representatives, successors and assigns of the Investor.</w:t>
      </w:r>
    </w:p>
    <w:p>
      <w:pPr>
        <w:spacing w:after="0" w:line="170" w:lineRule="exact"/>
        <w:rPr>
          <w:rFonts w:ascii="Times New Roman" w:cs="Times New Roman" w:eastAsia="Times New Roman" w:hAnsi="Times New Roman"/>
          <w:sz w:val="17"/>
          <w:szCs w:val="17"/>
          <w:i w:val="1"/>
          <w:iCs w:val="1"/>
          <w:color w:val="auto"/>
        </w:rPr>
      </w:pPr>
    </w:p>
    <w:p>
      <w:pPr>
        <w:ind w:firstLine="633"/>
        <w:spacing w:after="0" w:line="298" w:lineRule="auto"/>
        <w:tabs>
          <w:tab w:leader="none" w:pos="125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Ownership of Existing Notes</w:t>
      </w:r>
      <w:r>
        <w:rPr>
          <w:rFonts w:ascii="Times New Roman" w:cs="Times New Roman" w:eastAsia="Times New Roman" w:hAnsi="Times New Roman"/>
          <w:sz w:val="17"/>
          <w:szCs w:val="17"/>
          <w:color w:val="auto"/>
        </w:rPr>
        <w:t>. Each of the Exchanging Investors is and, immediately before the Closing, will be the beneficial owner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Existing Notes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i w:val="1"/>
          <w:iCs w:val="1"/>
          <w:color w:val="auto"/>
        </w:rPr>
      </w:pPr>
    </w:p>
    <w:p>
      <w:pPr>
        <w:ind w:firstLine="633"/>
        <w:spacing w:after="0" w:line="298" w:lineRule="auto"/>
        <w:tabs>
          <w:tab w:leader="none" w:pos="125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Passage of Good Title; No Liens</w:t>
      </w:r>
      <w:r>
        <w:rPr>
          <w:rFonts w:ascii="Times New Roman" w:cs="Times New Roman" w:eastAsia="Times New Roman" w:hAnsi="Times New Roman"/>
          <w:sz w:val="17"/>
          <w:szCs w:val="17"/>
          <w:color w:val="auto"/>
        </w:rPr>
        <w:t>. When the Existing Notes are exchanged pursuant to this Agreement, the Company will acquire good,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marketable and unencumbered title to the Existing Notes, free and clear of all Liens.</w:t>
      </w:r>
    </w:p>
    <w:p>
      <w:pPr>
        <w:spacing w:after="0" w:line="142" w:lineRule="exact"/>
        <w:rPr>
          <w:rFonts w:ascii="Times New Roman" w:cs="Times New Roman" w:eastAsia="Times New Roman" w:hAnsi="Times New Roman"/>
          <w:sz w:val="17"/>
          <w:szCs w:val="17"/>
          <w:i w:val="1"/>
          <w:iCs w:val="1"/>
          <w:color w:val="auto"/>
        </w:rPr>
      </w:pPr>
    </w:p>
    <w:p>
      <w:pPr>
        <w:jc w:val="both"/>
        <w:ind w:firstLine="633"/>
        <w:spacing w:after="0" w:line="263" w:lineRule="auto"/>
        <w:tabs>
          <w:tab w:leader="none" w:pos="125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The Exchange and the other transactions contemplated hereby to be performed by the Investor or any Exchanging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Investor will not (i) contravene any law, rule or regulation binding on the Investor or such Exchanging Investor or any investment guideline or restriction applicable to the Investor or such Exchanging Investor; or (ii) constitute a breach or violation or result in a default under the organizational documents of the Investor or such Exchanging Investor or any material loan agreement, mortgage, lease or other agreement or instrument to which the Investor or such Exchanging Investor is a party or by which it is bound, except, in the cases of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above, for such contraventions, conflicts, violations or defaults that would not, individually or in the aggregate, reasonably be expected to result in a material adverse change in the ability of the Investor or such Exchanging Investor to consummate the transactions contemplated by this Agreement or perform its obligations hereunder.</w:t>
      </w:r>
    </w:p>
    <w:p>
      <w:pPr>
        <w:spacing w:after="0" w:line="175" w:lineRule="exact"/>
        <w:rPr>
          <w:rFonts w:ascii="Times New Roman" w:cs="Times New Roman" w:eastAsia="Times New Roman" w:hAnsi="Times New Roman"/>
          <w:sz w:val="17"/>
          <w:szCs w:val="17"/>
          <w:i w:val="1"/>
          <w:iCs w:val="1"/>
          <w:color w:val="auto"/>
        </w:rPr>
      </w:pPr>
    </w:p>
    <w:p>
      <w:pPr>
        <w:ind w:left="1260" w:hanging="627"/>
        <w:spacing w:after="0"/>
        <w:tabs>
          <w:tab w:leader="none" w:pos="1260"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Jurisdiction of Residence</w:t>
      </w:r>
      <w:r>
        <w:rPr>
          <w:rFonts w:ascii="Times New Roman" w:cs="Times New Roman" w:eastAsia="Times New Roman" w:hAnsi="Times New Roman"/>
          <w:sz w:val="17"/>
          <w:szCs w:val="17"/>
          <w:color w:val="auto"/>
        </w:rPr>
        <w:t>. The Investor and each Exchanging Investor is a resident of the jurisdiction set forth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attached to this</w:t>
      </w:r>
    </w:p>
    <w:p>
      <w:pPr>
        <w:spacing w:after="0" w:line="33" w:lineRule="exact"/>
        <w:rPr>
          <w:rFonts w:ascii="Times New Roman" w:cs="Times New Roman" w:eastAsia="Times New Roman" w:hAnsi="Times New Roman"/>
          <w:sz w:val="17"/>
          <w:szCs w:val="17"/>
          <w:i w:val="1"/>
          <w:iCs w:val="1"/>
          <w:color w:val="auto"/>
        </w:rPr>
      </w:pPr>
    </w:p>
    <w:p>
      <w:pPr>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Agreement.</w:t>
      </w:r>
    </w:p>
    <w:p>
      <w:pPr>
        <w:spacing w:after="0" w:line="203" w:lineRule="exact"/>
        <w:rPr>
          <w:rFonts w:ascii="Times New Roman" w:cs="Times New Roman" w:eastAsia="Times New Roman" w:hAnsi="Times New Roman"/>
          <w:sz w:val="17"/>
          <w:szCs w:val="17"/>
          <w:i w:val="1"/>
          <w:iCs w:val="1"/>
          <w:color w:val="auto"/>
        </w:rPr>
      </w:pPr>
    </w:p>
    <w:p>
      <w:pPr>
        <w:jc w:val="both"/>
        <w:ind w:firstLine="633"/>
        <w:spacing w:after="0" w:line="270" w:lineRule="auto"/>
        <w:tabs>
          <w:tab w:leader="none" w:pos="125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Compliance with Certain Laws; No Consents</w:t>
      </w:r>
      <w:r>
        <w:rPr>
          <w:rFonts w:ascii="Times New Roman" w:cs="Times New Roman" w:eastAsia="Times New Roman" w:hAnsi="Times New Roman"/>
          <w:sz w:val="17"/>
          <w:szCs w:val="17"/>
          <w:color w:val="auto"/>
        </w:rPr>
        <w:t>. The Investor and each Exchanging Investor will comply in all material respects with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laws and regulations in effect in any jurisdiction in which the Investor or any of the Exchanging Investors acquires any New Notes pursuant to the Exchange and will obtain any consent, approval or permission required for any such acquisition under the laws and regulations of any jurisdiction to which the Investor or any of the Exchanging Investors is subject or in which the Investor or any Exchanging Investor acquires any New Notes pursuant to the Exchange.</w:t>
      </w:r>
    </w:p>
    <w:p>
      <w:pPr>
        <w:spacing w:after="0" w:line="167" w:lineRule="exact"/>
        <w:rPr>
          <w:rFonts w:ascii="Times New Roman" w:cs="Times New Roman" w:eastAsia="Times New Roman" w:hAnsi="Times New Roman"/>
          <w:sz w:val="17"/>
          <w:szCs w:val="17"/>
          <w:i w:val="1"/>
          <w:iCs w:val="1"/>
          <w:color w:val="auto"/>
        </w:rPr>
      </w:pPr>
    </w:p>
    <w:p>
      <w:pPr>
        <w:jc w:val="both"/>
        <w:ind w:firstLine="633"/>
        <w:spacing w:after="0" w:line="263" w:lineRule="auto"/>
        <w:tabs>
          <w:tab w:leader="none" w:pos="125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Acknowledgement of Risks; Investment Sophistication</w:t>
      </w:r>
      <w:r>
        <w:rPr>
          <w:rFonts w:ascii="Times New Roman" w:cs="Times New Roman" w:eastAsia="Times New Roman" w:hAnsi="Times New Roman"/>
          <w:sz w:val="17"/>
          <w:szCs w:val="17"/>
          <w:color w:val="auto"/>
        </w:rPr>
        <w:t>. The Investor and each Exchanging Investor understands and accepts that the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to be acquired in the Exchange involve risks. Each of the Investor and the Exchanging Investors has such knowledge, skill and experience in business, financial and investment matters that such person is capable of evaluating the merits and risks of the Exchange and an investment in the New Notes. With the assistance of each Exchanging Investor’s own professional advisors, to the extent that the Exchanging Investor has deemed appropriate, each Exchanging Investor has made its own legal, tax, accounting and financial evaluation of the merits and risks of an investment in the New Notes and the consequences of the Exchange and this Agreement. Each Exchanging Investor has considered the suitability of the New Notes as an investment in light of its own circumstances and financial condition, and each of the Investor and the Exchanging Investor is able to bear the risks associated with an investment in the New Notes.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jc w:val="both"/>
        <w:ind w:left="-5" w:firstLine="633"/>
        <w:spacing w:after="0" w:line="260" w:lineRule="auto"/>
        <w:tabs>
          <w:tab w:leader="none" w:pos="1251" w:val="left"/>
        </w:tabs>
        <w:numPr>
          <w:ilvl w:val="1"/>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View to Distribution; No Registration</w:t>
      </w:r>
      <w:r>
        <w:rPr>
          <w:rFonts w:ascii="Times New Roman" w:cs="Times New Roman" w:eastAsia="Times New Roman" w:hAnsi="Times New Roman"/>
          <w:sz w:val="17"/>
          <w:szCs w:val="17"/>
          <w:color w:val="auto"/>
        </w:rPr>
        <w:t>. Each Exchanging Investor is acquiring the New Notes solely for such Exchanging Investor’s own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beneficial account, for investment purposes, and not with a view to, or for resale in connection with, any distribution of the New Notes in violation of the Securities Act; provided, however, that by making the representations herein, such Exchanging Investor does not agree to hold any of the New Notes or Conversion Shares issuable therefor for any minimum or other specific term and reserves the right to assign, transfer or otherwise dispose of any of the New Notes or Conversion Shares at any time. Each of the Investor and the Exchanging Investors understands that the offer and sale of the New Notes have not been registered under the Securities Act or any state securities laws by reason of specific exemptions under the provisions thereof that depend in part upon the investment intent of the Investor and the Exchanging Investors and the accuracy of the other representations made by the Investor, for itself and on behalf of each Exchanging Investor, in this Agreement. Each of the Investor and the Exchanging Investors understands that the Company and its subsidiaries and Latham</w:t>
      </w:r>
    </w:p>
    <w:p>
      <w:pPr>
        <w:ind w:left="-5" w:firstLine="5"/>
        <w:spacing w:after="0" w:line="274" w:lineRule="auto"/>
        <w:tabs>
          <w:tab w:leader="none" w:pos="19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Watkins LLP are relying upon the representations and agreements contained in </w:t>
      </w:r>
      <w:r>
        <w:rPr>
          <w:rFonts w:ascii="Times New Roman" w:cs="Times New Roman" w:eastAsia="Times New Roman" w:hAnsi="Times New Roman"/>
          <w:sz w:val="17"/>
          <w:szCs w:val="17"/>
          <w:b w:val="1"/>
          <w:bCs w:val="1"/>
          <w:color w:val="auto"/>
        </w:rPr>
        <w:t>Section 5(g)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7"/>
          <w:szCs w:val="17"/>
          <w:color w:val="auto"/>
        </w:rPr>
        <w:t xml:space="preserve"> of this Agreement for the purpose of determining whether the Exchange meets the requirements for such exemptions.</w:t>
      </w:r>
    </w:p>
    <w:p>
      <w:pPr>
        <w:spacing w:after="0" w:line="161" w:lineRule="exact"/>
        <w:rPr>
          <w:rFonts w:ascii="Times New Roman" w:cs="Times New Roman" w:eastAsia="Times New Roman" w:hAnsi="Times New Roman"/>
          <w:sz w:val="17"/>
          <w:szCs w:val="17"/>
          <w:color w:val="auto"/>
        </w:rPr>
      </w:pPr>
    </w:p>
    <w:p>
      <w:pPr>
        <w:jc w:val="both"/>
        <w:ind w:left="-5" w:firstLine="633"/>
        <w:spacing w:after="0" w:line="274" w:lineRule="auto"/>
        <w:tabs>
          <w:tab w:leader="none" w:pos="1251" w:val="left"/>
        </w:tabs>
        <w:numPr>
          <w:ilvl w:val="1"/>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Information Provided</w:t>
      </w:r>
      <w:r>
        <w:rPr>
          <w:rFonts w:ascii="Times New Roman" w:cs="Times New Roman" w:eastAsia="Times New Roman" w:hAnsi="Times New Roman"/>
          <w:sz w:val="17"/>
          <w:szCs w:val="17"/>
          <w:color w:val="auto"/>
        </w:rPr>
        <w:t>. The Investor and each Exchanging Investor acknowledges that no person has been authorized to give any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to make any representation concerning the Company or the Exchange other than as contained in this Agreement and the Covered SEC Filings. The Company takes no responsibility for, and provides no assurance as to the reliability of, any other information that others may provide to the Investor or any Exchanging Investor.</w:t>
      </w:r>
    </w:p>
    <w:p>
      <w:pPr>
        <w:spacing w:after="0" w:line="377" w:lineRule="exact"/>
        <w:rPr>
          <w:rFonts w:ascii="Times New Roman" w:cs="Times New Roman" w:eastAsia="Times New Roman" w:hAnsi="Times New Roman"/>
          <w:sz w:val="17"/>
          <w:szCs w:val="17"/>
          <w:i w:val="1"/>
          <w:iCs w:val="1"/>
          <w:color w:val="auto"/>
        </w:rPr>
      </w:pPr>
    </w:p>
    <w:p>
      <w:pPr>
        <w:jc w:val="both"/>
        <w:ind w:left="-5" w:firstLine="633"/>
        <w:spacing w:after="0" w:line="264" w:lineRule="auto"/>
        <w:tabs>
          <w:tab w:leader="none" w:pos="1251" w:val="left"/>
        </w:tabs>
        <w:numPr>
          <w:ilvl w:val="1"/>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Investment, Tax or Other Advice</w:t>
      </w:r>
      <w:r>
        <w:rPr>
          <w:rFonts w:ascii="Times New Roman" w:cs="Times New Roman" w:eastAsia="Times New Roman" w:hAnsi="Times New Roman"/>
          <w:sz w:val="17"/>
          <w:szCs w:val="17"/>
          <w:color w:val="auto"/>
        </w:rPr>
        <w:t>. The Investor confirms that it and each Exchanging Investor is not relying on any statement (written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oral), representation or warranty made by, or on behalf of, the Company, GS or any of their respective Affiliates or agents as investment, tax or other advice or as a recommendation to participate in the Exchange and receive the Exchange Consideration in exchange for Existing Notes. The Investor confirms that it and each Exchanging Investor has read the New Notes Indenture and has not relied on any statement (written or oral) of the Company, GS or any of their respective Affiliates or agents as to the terms of the New Notes. Neither the Company, GS nor any of their respective Affiliates or agents is acting or has acted as an advisor to the Investor or any Exchanging Investor in deciding whether to participate in the Exchange and to exchange Existing Notes for the Exchange Consideration.</w:t>
      </w:r>
    </w:p>
    <w:p>
      <w:pPr>
        <w:spacing w:after="0" w:line="384" w:lineRule="exact"/>
        <w:rPr>
          <w:rFonts w:ascii="Times New Roman" w:cs="Times New Roman" w:eastAsia="Times New Roman" w:hAnsi="Times New Roman"/>
          <w:sz w:val="17"/>
          <w:szCs w:val="17"/>
          <w:i w:val="1"/>
          <w:iCs w:val="1"/>
          <w:color w:val="auto"/>
        </w:rPr>
      </w:pPr>
    </w:p>
    <w:p>
      <w:pPr>
        <w:jc w:val="both"/>
        <w:ind w:left="-5" w:firstLine="633"/>
        <w:spacing w:after="0" w:line="265" w:lineRule="auto"/>
        <w:tabs>
          <w:tab w:leader="none" w:pos="1251" w:val="left"/>
        </w:tabs>
        <w:numPr>
          <w:ilvl w:val="1"/>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Investment Decision Matters</w:t>
      </w:r>
      <w:r>
        <w:rPr>
          <w:rFonts w:ascii="Times New Roman" w:cs="Times New Roman" w:eastAsia="Times New Roman" w:hAnsi="Times New Roman"/>
          <w:sz w:val="17"/>
          <w:szCs w:val="17"/>
          <w:color w:val="auto"/>
        </w:rPr>
        <w:t>. The Investor confirms that none of the Company, GS or any of their respective Affiliates or agents have (i) given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guarantee or representation as to the potential success, return, effect or benefit (either legal, regulatory, tax, financial, accounting or otherwise) of an investment in the New Notes; or (ii) made any representation to the Investor or any Exchanging Investor regarding the legality of an investment in the New Notes under applicable investment guidelines, laws or regulations. In deciding to participate in the Exchange, each of the Investor and the Exchanging Investors is not relying on the advice or recommendations of the Company or GS, or their respective Affiliates or agents, and has made its own independent decision that the terms of the Exchange and the investment in the New Notes are suitable and appropriate for it.</w:t>
      </w:r>
    </w:p>
    <w:p>
      <w:pPr>
        <w:spacing w:after="0" w:line="170" w:lineRule="exact"/>
        <w:rPr>
          <w:rFonts w:ascii="Times New Roman" w:cs="Times New Roman" w:eastAsia="Times New Roman" w:hAnsi="Times New Roman"/>
          <w:sz w:val="17"/>
          <w:szCs w:val="17"/>
          <w:i w:val="1"/>
          <w:iCs w:val="1"/>
          <w:color w:val="auto"/>
        </w:rPr>
      </w:pPr>
    </w:p>
    <w:p>
      <w:pPr>
        <w:jc w:val="both"/>
        <w:ind w:left="-5" w:firstLine="633"/>
        <w:spacing w:after="0" w:line="267" w:lineRule="auto"/>
        <w:tabs>
          <w:tab w:leader="none" w:pos="1251" w:val="left"/>
        </w:tabs>
        <w:numPr>
          <w:ilvl w:val="1"/>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Due Diligence</w:t>
      </w:r>
      <w:r>
        <w:rPr>
          <w:rFonts w:ascii="Times New Roman" w:cs="Times New Roman" w:eastAsia="Times New Roman" w:hAnsi="Times New Roman"/>
          <w:sz w:val="17"/>
          <w:szCs w:val="17"/>
          <w:color w:val="auto"/>
        </w:rPr>
        <w:t>. Each of the Investor and the Exchanging Investors is familiar with the business and financial condition and operations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has had the opportunity to conduct its own investigation of the Company and the New Notes. Each of the Investor and the Exchanging Investors has had access to and reviewed the Covered SEC Filings and such other information concerning the Company and the New Notes it deems necessary to enable it to make an informed investment decision concerning the Exchange. Each of the Investor and the Exchanging Investors has been offered the opportunity to ask questions of the Company and received answers thereto, as it deems necessary to enable it to make an informed investment decision concerning the Exchange.</w:t>
      </w:r>
    </w:p>
    <w:p>
      <w:pPr>
        <w:spacing w:after="0" w:line="168" w:lineRule="exact"/>
        <w:rPr>
          <w:rFonts w:ascii="Times New Roman" w:cs="Times New Roman" w:eastAsia="Times New Roman" w:hAnsi="Times New Roman"/>
          <w:sz w:val="17"/>
          <w:szCs w:val="17"/>
          <w:i w:val="1"/>
          <w:iCs w:val="1"/>
          <w:color w:val="auto"/>
        </w:rPr>
      </w:pPr>
    </w:p>
    <w:p>
      <w:pPr>
        <w:jc w:val="both"/>
        <w:ind w:left="-5" w:firstLine="633"/>
        <w:spacing w:after="0" w:line="277" w:lineRule="auto"/>
        <w:tabs>
          <w:tab w:leader="none" w:pos="1251" w:val="left"/>
        </w:tabs>
        <w:numPr>
          <w:ilvl w:val="1"/>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Regulatory Agency Recommendation or Approval</w:t>
      </w:r>
      <w:r>
        <w:rPr>
          <w:rFonts w:ascii="Times New Roman" w:cs="Times New Roman" w:eastAsia="Times New Roman" w:hAnsi="Times New Roman"/>
          <w:sz w:val="17"/>
          <w:szCs w:val="17"/>
          <w:color w:val="auto"/>
        </w:rPr>
        <w:t>. Each of the Investor and the Exchanging Investors understands that no federal or state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agency has passed upon the merits or risks of an investment in the New Notes or made any recommendation or endorsement, or made any finding or determination concerning the fairness or advisability, of such investment or the consequences of the Exchange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35"/>
          </w:cols>
          <w:pgMar w:left="325" w:top="773" w:right="339" w:bottom="1440" w:gutter="0" w:footer="0" w:header="0"/>
        </w:sectPr>
      </w:pPr>
    </w:p>
    <w:bookmarkStart w:id="21" w:name="page22"/>
    <w:bookmarkEnd w:id="21"/>
    <w:p>
      <w:pPr>
        <w:jc w:val="both"/>
        <w:ind w:left="-20" w:firstLine="633"/>
        <w:spacing w:after="0" w:line="274" w:lineRule="auto"/>
        <w:tabs>
          <w:tab w:leader="none" w:pos="123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Qualified Institutional Buyer Status</w:t>
      </w:r>
      <w:r>
        <w:rPr>
          <w:rFonts w:ascii="Times New Roman" w:cs="Times New Roman" w:eastAsia="Times New Roman" w:hAnsi="Times New Roman"/>
          <w:sz w:val="17"/>
          <w:szCs w:val="17"/>
          <w:color w:val="auto"/>
        </w:rPr>
        <w:t>. Each Exchanging Investor and each account for which it is acting is a “qualified institutional buyer”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in Rule 144A under the Securities Act. Each of the Investor and the Exchanging Investors agrees to furnish any additional information reasonably requested by the Company or any of its Affiliates or agents to assure compliance with applicable U.S. federal and state securities laws in connection with the Exchange.</w:t>
      </w:r>
    </w:p>
    <w:p>
      <w:pPr>
        <w:spacing w:after="0" w:line="377" w:lineRule="exact"/>
        <w:rPr>
          <w:rFonts w:ascii="Times New Roman" w:cs="Times New Roman" w:eastAsia="Times New Roman" w:hAnsi="Times New Roman"/>
          <w:sz w:val="17"/>
          <w:szCs w:val="17"/>
          <w:i w:val="1"/>
          <w:iCs w:val="1"/>
          <w:color w:val="auto"/>
        </w:rPr>
      </w:pPr>
    </w:p>
    <w:p>
      <w:pPr>
        <w:jc w:val="both"/>
        <w:ind w:left="-20" w:firstLine="633"/>
        <w:spacing w:after="0" w:line="267" w:lineRule="auto"/>
        <w:tabs>
          <w:tab w:leader="none" w:pos="123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Mutual Negotiation</w:t>
      </w:r>
      <w:r>
        <w:rPr>
          <w:rFonts w:ascii="Times New Roman" w:cs="Times New Roman" w:eastAsia="Times New Roman" w:hAnsi="Times New Roman"/>
          <w:sz w:val="17"/>
          <w:szCs w:val="17"/>
          <w:color w:val="auto"/>
        </w:rPr>
        <w:t>. The Investor acknowledges that the terms of the Exchange have been mutually negotiated between the Investor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The Investor was given a meaningful opportunity to negotiate the terms of the Exchange. The Investor had a sufficient amount of time to consider whether to participate in the Exchange, and neither the Company nor GS, nor any of their respective affiliates or agents, has placed any pressure on the Investor to respond to the opportunity to participate in the Exchange. The Investor’s and each Exchanging Investor’s participation in the Exchange was not conditioned by the Company on the Investor or any Exchanging Investor’s exchange of a minimum principal amount of Existing Notes for the Exchange Consideration.</w:t>
      </w:r>
    </w:p>
    <w:p>
      <w:pPr>
        <w:spacing w:after="0" w:line="168" w:lineRule="exact"/>
        <w:rPr>
          <w:rFonts w:ascii="Times New Roman" w:cs="Times New Roman" w:eastAsia="Times New Roman" w:hAnsi="Times New Roman"/>
          <w:sz w:val="17"/>
          <w:szCs w:val="17"/>
          <w:i w:val="1"/>
          <w:iCs w:val="1"/>
          <w:color w:val="auto"/>
        </w:rPr>
      </w:pPr>
    </w:p>
    <w:p>
      <w:pPr>
        <w:ind w:left="-20" w:firstLine="633"/>
        <w:spacing w:after="0" w:line="298" w:lineRule="auto"/>
        <w:tabs>
          <w:tab w:leader="none" w:pos="123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Financial Adviser Fee</w:t>
      </w:r>
      <w:r>
        <w:rPr>
          <w:rFonts w:ascii="Times New Roman" w:cs="Times New Roman" w:eastAsia="Times New Roman" w:hAnsi="Times New Roman"/>
          <w:sz w:val="17"/>
          <w:szCs w:val="17"/>
          <w:color w:val="auto"/>
        </w:rPr>
        <w:t>. The Investor acknowledges that it and each Exchanging Investor understands that the Company intends to pay GS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fee in respect of the Exchange.</w:t>
      </w:r>
    </w:p>
    <w:p>
      <w:pPr>
        <w:spacing w:after="0" w:line="142" w:lineRule="exact"/>
        <w:rPr>
          <w:rFonts w:ascii="Times New Roman" w:cs="Times New Roman" w:eastAsia="Times New Roman" w:hAnsi="Times New Roman"/>
          <w:sz w:val="17"/>
          <w:szCs w:val="17"/>
          <w:i w:val="1"/>
          <w:iCs w:val="1"/>
          <w:color w:val="auto"/>
        </w:rPr>
      </w:pPr>
    </w:p>
    <w:p>
      <w:pPr>
        <w:jc w:val="both"/>
        <w:ind w:left="-20" w:firstLine="633"/>
        <w:spacing w:after="0" w:line="277" w:lineRule="auto"/>
        <w:tabs>
          <w:tab w:leader="none" w:pos="123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Bring-Down of Representations and Warranties</w:t>
      </w:r>
      <w:r>
        <w:rPr>
          <w:rFonts w:ascii="Times New Roman" w:cs="Times New Roman" w:eastAsia="Times New Roman" w:hAnsi="Times New Roman"/>
          <w:sz w:val="17"/>
          <w:szCs w:val="17"/>
          <w:color w:val="auto"/>
        </w:rPr>
        <w:t>. Except to the extent that the Investor notifies the Company in writing to the contrary at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before the Closing, each of the Investor’s representations and warranties, on behalf of itself and each Exchanging Investor, contained in this Agreement will be deemed to have been reaffirmed and confirmed as of the Closing.</w:t>
      </w:r>
    </w:p>
    <w:p>
      <w:pPr>
        <w:spacing w:after="0" w:line="160" w:lineRule="exact"/>
        <w:rPr>
          <w:rFonts w:ascii="Times New Roman" w:cs="Times New Roman" w:eastAsia="Times New Roman" w:hAnsi="Times New Roman"/>
          <w:sz w:val="17"/>
          <w:szCs w:val="17"/>
          <w:i w:val="1"/>
          <w:iCs w:val="1"/>
          <w:color w:val="auto"/>
        </w:rPr>
      </w:pPr>
    </w:p>
    <w:p>
      <w:pPr>
        <w:ind w:left="-20" w:firstLine="633"/>
        <w:spacing w:after="0" w:line="298" w:lineRule="auto"/>
        <w:tabs>
          <w:tab w:leader="none" w:pos="123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Settlement Instructions</w:t>
      </w:r>
      <w:r>
        <w:rPr>
          <w:rFonts w:ascii="Times New Roman" w:cs="Times New Roman" w:eastAsia="Times New Roman" w:hAnsi="Times New Roman"/>
          <w:sz w:val="17"/>
          <w:szCs w:val="17"/>
          <w:color w:val="auto"/>
        </w:rPr>
        <w:t>. No later than one (1) Business Day after the date hereof, the Investor agrees to deliver to the Company settlement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instructions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to this Agreement for each of the Exchanging Investors.</w:t>
      </w:r>
    </w:p>
    <w:p>
      <w:pPr>
        <w:spacing w:after="0" w:line="142" w:lineRule="exact"/>
        <w:rPr>
          <w:rFonts w:ascii="Times New Roman" w:cs="Times New Roman" w:eastAsia="Times New Roman" w:hAnsi="Times New Roman"/>
          <w:sz w:val="17"/>
          <w:szCs w:val="17"/>
          <w:i w:val="1"/>
          <w:iCs w:val="1"/>
          <w:color w:val="auto"/>
        </w:rPr>
      </w:pPr>
    </w:p>
    <w:p>
      <w:pPr>
        <w:jc w:val="both"/>
        <w:ind w:left="-20" w:firstLine="633"/>
        <w:spacing w:after="0" w:line="263" w:lineRule="auto"/>
        <w:tabs>
          <w:tab w:leader="none" w:pos="123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Wall-Cross Matters</w:t>
      </w:r>
      <w:r>
        <w:rPr>
          <w:rFonts w:ascii="Times New Roman" w:cs="Times New Roman" w:eastAsia="Times New Roman" w:hAnsi="Times New Roman"/>
          <w:sz w:val="17"/>
          <w:szCs w:val="17"/>
          <w:color w:val="auto"/>
        </w:rPr>
        <w:t>. The Investor acknowledges and agrees that it and each Exchanging Investor has not transacted, and will not transact,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any securities of the Company, including, but not limited to, any hedging transactions, from the time the Investor was first contacted by the Company or GS with respect to the transactions contemplated by this Agreement until after the Release Time. Solely for purposes of this </w:t>
      </w:r>
      <w:r>
        <w:rPr>
          <w:rFonts w:ascii="Times New Roman" w:cs="Times New Roman" w:eastAsia="Times New Roman" w:hAnsi="Times New Roman"/>
          <w:sz w:val="17"/>
          <w:szCs w:val="17"/>
          <w:b w:val="1"/>
          <w:bCs w:val="1"/>
          <w:color w:val="auto"/>
        </w:rPr>
        <w:t>Section 5(t)</w:t>
      </w:r>
      <w:r>
        <w:rPr>
          <w:rFonts w:ascii="Times New Roman" w:cs="Times New Roman" w:eastAsia="Times New Roman" w:hAnsi="Times New Roman"/>
          <w:sz w:val="17"/>
          <w:szCs w:val="17"/>
          <w:color w:val="auto"/>
        </w:rPr>
        <w:t xml:space="preserve">, subject to the Investor’s compliance with its obligations under U.S. federal securities laws and the Investor’s internal policies, (i) “Investor” will not include any employees or Affiliates of the Investor that are effectively walled off by appropriate “Fire Wall” information barriers approved by the Investor’s legal or compliance department; and (ii) the foregoing representations and covenants of this </w:t>
      </w:r>
      <w:r>
        <w:rPr>
          <w:rFonts w:ascii="Times New Roman" w:cs="Times New Roman" w:eastAsia="Times New Roman" w:hAnsi="Times New Roman"/>
          <w:sz w:val="17"/>
          <w:szCs w:val="17"/>
          <w:b w:val="1"/>
          <w:bCs w:val="1"/>
          <w:color w:val="auto"/>
        </w:rPr>
        <w:t>Section 5(t)</w:t>
      </w:r>
      <w:r>
        <w:rPr>
          <w:rFonts w:ascii="Times New Roman" w:cs="Times New Roman" w:eastAsia="Times New Roman" w:hAnsi="Times New Roman"/>
          <w:sz w:val="17"/>
          <w:szCs w:val="17"/>
          <w:color w:val="auto"/>
        </w:rPr>
        <w:t xml:space="preserve"> will not apply to any transaction by or on behalf of an account that was effected without the advice or participation of, or such account’s receipt of information regarding the transactions contemplated hereby provided by, the Investor.</w:t>
      </w:r>
    </w:p>
    <w:p>
      <w:pPr>
        <w:spacing w:after="0" w:line="175" w:lineRule="exact"/>
        <w:rPr>
          <w:rFonts w:ascii="Times New Roman" w:cs="Times New Roman" w:eastAsia="Times New Roman" w:hAnsi="Times New Roman"/>
          <w:sz w:val="17"/>
          <w:szCs w:val="17"/>
          <w:i w:val="1"/>
          <w:iCs w:val="1"/>
          <w:color w:val="auto"/>
        </w:rPr>
      </w:pPr>
    </w:p>
    <w:p>
      <w:pPr>
        <w:jc w:val="both"/>
        <w:ind w:left="-20" w:firstLine="633"/>
        <w:spacing w:after="0" w:line="263" w:lineRule="auto"/>
        <w:tabs>
          <w:tab w:leader="none" w:pos="123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Reliance on GS; Related Matters</w:t>
      </w:r>
      <w:r>
        <w:rPr>
          <w:rFonts w:ascii="Times New Roman" w:cs="Times New Roman" w:eastAsia="Times New Roman" w:hAnsi="Times New Roman"/>
          <w:sz w:val="17"/>
          <w:szCs w:val="17"/>
          <w:color w:val="auto"/>
        </w:rPr>
        <w:t>. The Investor acknowledges and agrees that GS has not acted as a financial advisor or fiduciary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Investor or any Exchanging Investor and that GS and its directors, officers, employees, representatives and controlling persons have no responsibility for making, and have not made, any independent investigation of the information contained herein or in the Company’s SEC filings and make no representation or warranty to the Investor or any Exchanging Investor, express or implied, with respect to the Company, the Existing Notes or the Exchange Consideration or the accuracy, completeness or adequacy of the information provided to the Investor or any Exchanging Investor or any other publicly available information, nor will any of the foregoing persons be liable for any loss or damages of any kind resulting from the use of the information contained therein or otherwise supplied to the Investor or any Exchanging Investor.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22" w:name="page23"/>
    <w:bookmarkEnd w:id="22"/>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6.</w:t>
      </w:r>
      <w:r>
        <w:rPr>
          <w:sz w:val="20"/>
          <w:szCs w:val="20"/>
          <w:color w:val="auto"/>
        </w:rPr>
        <w:tab/>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1"/>
          <w:szCs w:val="11"/>
          <w:u w:val="single" w:color="auto"/>
          <w:color w:val="auto"/>
        </w:rPr>
        <w:t>onditions to</w:t>
      </w:r>
      <w:r>
        <w:rPr>
          <w:rFonts w:ascii="Times New Roman" w:cs="Times New Roman" w:eastAsia="Times New Roman" w:hAnsi="Times New Roman"/>
          <w:sz w:val="17"/>
          <w:szCs w:val="17"/>
          <w:u w:val="single" w:color="auto"/>
          <w:color w:val="auto"/>
        </w:rPr>
        <w:t xml:space="preserve"> O</w:t>
      </w:r>
      <w:r>
        <w:rPr>
          <w:rFonts w:ascii="Times New Roman" w:cs="Times New Roman" w:eastAsia="Times New Roman" w:hAnsi="Times New Roman"/>
          <w:sz w:val="11"/>
          <w:szCs w:val="11"/>
          <w:u w:val="single" w:color="auto"/>
          <w:color w:val="auto"/>
        </w:rPr>
        <w:t>bligations of the</w:t>
      </w:r>
      <w:r>
        <w:rPr>
          <w:rFonts w:ascii="Times New Roman" w:cs="Times New Roman" w:eastAsia="Times New Roman" w:hAnsi="Times New Roman"/>
          <w:sz w:val="17"/>
          <w:szCs w:val="17"/>
          <w:u w:val="single" w:color="auto"/>
          <w:color w:val="auto"/>
        </w:rPr>
        <w:t xml:space="preserve"> P</w:t>
      </w:r>
      <w:r>
        <w:rPr>
          <w:rFonts w:ascii="Times New Roman" w:cs="Times New Roman" w:eastAsia="Times New Roman" w:hAnsi="Times New Roman"/>
          <w:sz w:val="11"/>
          <w:szCs w:val="11"/>
          <w:u w:val="single" w:color="auto"/>
          <w:color w:val="auto"/>
        </w:rPr>
        <w:t>arties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633"/>
        <w:spacing w:after="0" w:line="263" w:lineRule="auto"/>
        <w:tabs>
          <w:tab w:leader="none" w:pos="1256"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Conditions to the Company’s Obligations</w:t>
      </w:r>
      <w:r>
        <w:rPr>
          <w:rFonts w:ascii="Times New Roman" w:cs="Times New Roman" w:eastAsia="Times New Roman" w:hAnsi="Times New Roman"/>
          <w:sz w:val="17"/>
          <w:szCs w:val="17"/>
          <w:color w:val="auto"/>
        </w:rPr>
        <w:t>. The obligation of the Company to deliver the Exchange Consideration is subject to the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at or prior to the Closing of each of the following conditions precedent: (i) the representations, warranties and covenants of the Investor, for itself and on behalf of the Exchanging Investors, in </w:t>
      </w:r>
      <w:r>
        <w:rPr>
          <w:rFonts w:ascii="Times New Roman" w:cs="Times New Roman" w:eastAsia="Times New Roman" w:hAnsi="Times New Roman"/>
          <w:sz w:val="17"/>
          <w:szCs w:val="17"/>
          <w:b w:val="1"/>
          <w:bCs w:val="1"/>
          <w:color w:val="auto"/>
        </w:rPr>
        <w:t>Section 5</w:t>
      </w:r>
      <w:r>
        <w:rPr>
          <w:rFonts w:ascii="Times New Roman" w:cs="Times New Roman" w:eastAsia="Times New Roman" w:hAnsi="Times New Roman"/>
          <w:sz w:val="17"/>
          <w:szCs w:val="17"/>
          <w:color w:val="auto"/>
        </w:rPr>
        <w:t xml:space="preserve"> hereof are true and correct as of the Closing in all respects with the same effect as though such representations and warranties had been made as of the Closing; (ii) all covenants and agreements of the Investor or any Exchanging Investor in </w:t>
      </w:r>
      <w:r>
        <w:rPr>
          <w:rFonts w:ascii="Times New Roman" w:cs="Times New Roman" w:eastAsia="Times New Roman" w:hAnsi="Times New Roman"/>
          <w:sz w:val="17"/>
          <w:szCs w:val="17"/>
          <w:b w:val="1"/>
          <w:bCs w:val="1"/>
          <w:color w:val="auto"/>
        </w:rPr>
        <w:t>Section 5</w:t>
      </w:r>
      <w:r>
        <w:rPr>
          <w:rFonts w:ascii="Times New Roman" w:cs="Times New Roman" w:eastAsia="Times New Roman" w:hAnsi="Times New Roman"/>
          <w:sz w:val="17"/>
          <w:szCs w:val="17"/>
          <w:color w:val="auto"/>
        </w:rPr>
        <w:t xml:space="preserve"> to be performed at or before the Closing have been performed; (iii) the conditions precedent set forth in </w:t>
      </w:r>
      <w:r>
        <w:rPr>
          <w:rFonts w:ascii="Times New Roman" w:cs="Times New Roman" w:eastAsia="Times New Roman" w:hAnsi="Times New Roman"/>
          <w:sz w:val="17"/>
          <w:szCs w:val="17"/>
          <w:b w:val="1"/>
          <w:bCs w:val="1"/>
          <w:color w:val="auto"/>
        </w:rPr>
        <w:t>Section 3(b)(iii)(3)</w:t>
      </w:r>
      <w:r>
        <w:rPr>
          <w:rFonts w:ascii="Times New Roman" w:cs="Times New Roman" w:eastAsia="Times New Roman" w:hAnsi="Times New Roman"/>
          <w:sz w:val="17"/>
          <w:szCs w:val="17"/>
          <w:color w:val="auto"/>
        </w:rPr>
        <w:t xml:space="preserve"> and the receipt by the Company of a valid DWAC Withdrawal and New Notes DWAC Deposit, in each case conforming to the requirements set forth in this Agreement; and (iv) delivery by each Exchanging Investor of the documentation required by </w:t>
      </w:r>
      <w:r>
        <w:rPr>
          <w:rFonts w:ascii="Times New Roman" w:cs="Times New Roman" w:eastAsia="Times New Roman" w:hAnsi="Times New Roman"/>
          <w:sz w:val="17"/>
          <w:szCs w:val="17"/>
          <w:b w:val="1"/>
          <w:bCs w:val="1"/>
          <w:color w:val="auto"/>
        </w:rPr>
        <w:t>Section 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 11]</w:t>
      </w:r>
      <w:r>
        <w:rPr>
          <w:rFonts w:ascii="Times New Roman" w:cs="Times New Roman" w:eastAsia="Times New Roman" w:hAnsi="Times New Roman"/>
          <w:sz w:val="17"/>
          <w:szCs w:val="17"/>
          <w:color w:val="auto"/>
        </w:rPr>
        <w:t xml:space="preserve"> hereof.</w:t>
      </w:r>
    </w:p>
    <w:p>
      <w:pPr>
        <w:spacing w:after="0" w:line="175" w:lineRule="exact"/>
        <w:rPr>
          <w:rFonts w:ascii="Times New Roman" w:cs="Times New Roman" w:eastAsia="Times New Roman" w:hAnsi="Times New Roman"/>
          <w:sz w:val="17"/>
          <w:szCs w:val="17"/>
          <w:i w:val="1"/>
          <w:iCs w:val="1"/>
          <w:color w:val="auto"/>
        </w:rPr>
      </w:pPr>
    </w:p>
    <w:p>
      <w:pPr>
        <w:jc w:val="both"/>
        <w:ind w:firstLine="633"/>
        <w:spacing w:after="0" w:line="259" w:lineRule="auto"/>
        <w:tabs>
          <w:tab w:leader="none" w:pos="1256"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Conditions to the Investor’s Obligations</w:t>
      </w:r>
      <w:r>
        <w:rPr>
          <w:rFonts w:ascii="Times New Roman" w:cs="Times New Roman" w:eastAsia="Times New Roman" w:hAnsi="Times New Roman"/>
          <w:sz w:val="17"/>
          <w:szCs w:val="17"/>
          <w:color w:val="auto"/>
        </w:rPr>
        <w:t>. The obligation of the Investor, on behalf of the Exchanging Investors, to deliver (or cause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delivered) the Existing Notes is subject to the satisfaction at or prior to the Closing of each of the following conditions precedent: (i) the representations, warranties and covenants of the Company in </w:t>
      </w:r>
      <w:r>
        <w:rPr>
          <w:rFonts w:ascii="Times New Roman" w:cs="Times New Roman" w:eastAsia="Times New Roman" w:hAnsi="Times New Roman"/>
          <w:sz w:val="17"/>
          <w:szCs w:val="17"/>
          <w:b w:val="1"/>
          <w:bCs w:val="1"/>
          <w:color w:val="auto"/>
        </w:rPr>
        <w:t>Section 4</w:t>
      </w:r>
      <w:r>
        <w:rPr>
          <w:rFonts w:ascii="Times New Roman" w:cs="Times New Roman" w:eastAsia="Times New Roman" w:hAnsi="Times New Roman"/>
          <w:sz w:val="17"/>
          <w:szCs w:val="17"/>
          <w:color w:val="auto"/>
        </w:rPr>
        <w:t xml:space="preserve"> are true and correct as of the Closing in all respects with the same effect as though such representations and warranties had been made as of the Closing; (ii) all covenants and agreements of the Company in </w:t>
      </w:r>
      <w:r>
        <w:rPr>
          <w:rFonts w:ascii="Times New Roman" w:cs="Times New Roman" w:eastAsia="Times New Roman" w:hAnsi="Times New Roman"/>
          <w:sz w:val="17"/>
          <w:szCs w:val="17"/>
          <w:b w:val="1"/>
          <w:bCs w:val="1"/>
          <w:color w:val="auto"/>
        </w:rPr>
        <w:t>Section 4</w:t>
      </w:r>
      <w:r>
        <w:rPr>
          <w:rFonts w:ascii="Times New Roman" w:cs="Times New Roman" w:eastAsia="Times New Roman" w:hAnsi="Times New Roman"/>
          <w:sz w:val="17"/>
          <w:szCs w:val="17"/>
          <w:color w:val="auto"/>
        </w:rPr>
        <w:t xml:space="preserve"> to be performed at or before the Closing have been performed; (iii) the Company shall have paid in full the fees and expenses payable pursuant to Section 4(r); and (iv)the Company and the Guarantors shall have delivered to the Investor, Collateral Agent and/or New Notes Trustee, as applicable: (A) the New Indenture, duly executed and delivered by the Company, the Guarantors, the New Notes Trustee and the Collateral Agent; (B) one or more global certificates representing the New Notes duly issued, executed and delivered by the Company to the New Notes Trustee as custodian of DTC, in the name of Cede &amp; Co., and duly authenticated by the New Notes Trustee; (C) customary security documentation (including, without limitation, the Security Agreement, intellectual property security agreements in form suitable for filing with the United States Patent and Trademark Office and/or the United States Copyright Office, as applicable) in form and substance reasonably acceptable to the Investor and duly executed and delivered by each of the Company and the Guarantors party thereto and the Collateral Agent (collectively, the “Security Documents”), as well as (1) certificates representing the capital stock or promissory notes pledged pursuant to the Security Documents, accompanied by undated stock or note powers executed in blank, or satisfactory evidence that such certificates, promissory notes and related powers were delivered to the Collateral Agent, (2) proper financing statements, duly prepared for filing under the Uniform Commercial Code of all relevant jurisdictions of incorporation or formation of the Company and each Guarantor and (3) completed lien searches, dated on or as of a recent date before the Closing, listing all effective financing statements filed in the relevant jurisdictions of the Company and each Guarantor’s jurisdiction of incorporation or formation that name the Company or any Guarantor as debtor, together with copies of such financing statements, and not evidencing any Liens not permitted by the New Notes Indenture, (D) a customary secretary’s certificate in respect of the Company and each Guarantor, dated as of the Closing Date, (E) a customary legal opinion from Latham &amp; Watkins LLP, as counsel to the Company and (F) such other certificates and documents as the Investor may reasonably request.</w:t>
      </w:r>
    </w:p>
    <w:p>
      <w:pPr>
        <w:spacing w:after="0" w:line="180" w:lineRule="exact"/>
        <w:rPr>
          <w:sz w:val="20"/>
          <w:szCs w:val="20"/>
          <w:color w:val="auto"/>
        </w:rPr>
      </w:pPr>
    </w:p>
    <w:p>
      <w:pPr>
        <w:jc w:val="both"/>
        <w:ind w:firstLine="628"/>
        <w:spacing w:after="0" w:line="264" w:lineRule="auto"/>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7. </w:t>
      </w:r>
      <w:r>
        <w:rPr>
          <w:rFonts w:ascii="Times New Roman" w:cs="Times New Roman" w:eastAsia="Times New Roman" w:hAnsi="Times New Roman"/>
          <w:sz w:val="17"/>
          <w:szCs w:val="17"/>
          <w:u w:val="single" w:color="auto"/>
          <w:color w:val="auto"/>
        </w:rPr>
        <w:t>T</w:t>
      </w:r>
      <w:r>
        <w:rPr>
          <w:rFonts w:ascii="Times New Roman" w:cs="Times New Roman" w:eastAsia="Times New Roman" w:hAnsi="Times New Roman"/>
          <w:sz w:val="11"/>
          <w:szCs w:val="11"/>
          <w:u w:val="single" w:color="auto"/>
          <w:color w:val="auto"/>
        </w:rPr>
        <w: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w:t>
      </w:r>
      <w:r>
        <w:rPr>
          <w:rFonts w:ascii="Times New Roman" w:cs="Times New Roman" w:eastAsia="Times New Roman" w:hAnsi="Times New Roman"/>
          <w:sz w:val="11"/>
          <w:szCs w:val="11"/>
          <w:u w:val="single" w:color="auto"/>
          <w:color w:val="auto"/>
        </w:rPr>
        <w:t>elease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w:t>
      </w:r>
      <w:r>
        <w:rPr>
          <w:rFonts w:ascii="Times New Roman" w:cs="Times New Roman" w:eastAsia="Times New Roman" w:hAnsi="Times New Roman"/>
          <w:sz w:val="11"/>
          <w:szCs w:val="11"/>
          <w:u w:val="single" w:color="auto"/>
          <w:color w:val="auto"/>
        </w:rPr>
        <w:t>ime</w:t>
      </w:r>
      <w:r>
        <w:rPr>
          <w:rFonts w:ascii="Times New Roman" w:cs="Times New Roman" w:eastAsia="Times New Roman" w:hAnsi="Times New Roman"/>
          <w:sz w:val="17"/>
          <w:szCs w:val="17"/>
          <w:color w:val="auto"/>
        </w:rPr>
        <w:t>. The Company agrees to publicly disclose no later than as soon as reasonably practicable, but in no event later than the Release Time, the exchange of the Existing Notes contemplated by this Agreement and similar exchange agreements in a press release or Current Report on Form 8-K. If this Agreement is terminated pursuant to Section 8, the Company agrees to publicly disclose as soon as reasonably practicable, but in no event later than 9:30 a.m. New York City time on the first Business Day after the termination of this Agreement in a press release or Current Report on Form 8-K. The Company acknowledges and agrees that, as of the time of any public disclosure required by this Section 7, none of the information provided by or on behalf of the Company to the Investor or any Exchanging Investor in connection with the Exchange will constitute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3" w:name="page24"/>
    <w:bookmarkEnd w:id="23"/>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8.</w:t>
      </w:r>
      <w:r>
        <w:rPr>
          <w:sz w:val="20"/>
          <w:szCs w:val="20"/>
          <w:color w:val="auto"/>
        </w:rPr>
        <w:tab/>
      </w:r>
      <w:r>
        <w:rPr>
          <w:rFonts w:ascii="Times New Roman" w:cs="Times New Roman" w:eastAsia="Times New Roman" w:hAnsi="Times New Roman"/>
          <w:sz w:val="17"/>
          <w:szCs w:val="17"/>
          <w:u w:val="single" w:color="auto"/>
          <w:color w:val="auto"/>
        </w:rPr>
        <w:t>T</w:t>
      </w:r>
      <w:r>
        <w:rPr>
          <w:rFonts w:ascii="Times New Roman" w:cs="Times New Roman" w:eastAsia="Times New Roman" w:hAnsi="Times New Roman"/>
          <w:sz w:val="11"/>
          <w:szCs w:val="11"/>
          <w:u w:val="single" w:color="auto"/>
          <w:color w:val="auto"/>
        </w:rPr>
        <w:t>ermination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240" w:hanging="627"/>
        <w:spacing w:after="0"/>
        <w:tabs>
          <w:tab w:leader="none" w:pos="124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This Agreement and the obligations of the parties to this Agreement will terminate:</w:t>
      </w:r>
    </w:p>
    <w:p>
      <w:pPr>
        <w:spacing w:after="0" w:line="225" w:lineRule="exact"/>
        <w:rPr>
          <w:rFonts w:ascii="Times New Roman" w:cs="Times New Roman" w:eastAsia="Times New Roman" w:hAnsi="Times New Roman"/>
          <w:sz w:val="17"/>
          <w:szCs w:val="17"/>
          <w:i w:val="1"/>
          <w:iCs w:val="1"/>
          <w:color w:val="auto"/>
        </w:rPr>
      </w:pPr>
    </w:p>
    <w:p>
      <w:pPr>
        <w:ind w:left="1860" w:hanging="619"/>
        <w:spacing w:after="0"/>
        <w:tabs>
          <w:tab w:leader="none" w:pos="18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mutual written consent of the parties to this Agreement;</w:t>
      </w:r>
    </w:p>
    <w:p>
      <w:pPr>
        <w:spacing w:after="0" w:line="223" w:lineRule="exact"/>
        <w:rPr>
          <w:rFonts w:ascii="Times New Roman" w:cs="Times New Roman" w:eastAsia="Times New Roman" w:hAnsi="Times New Roman"/>
          <w:sz w:val="17"/>
          <w:szCs w:val="17"/>
          <w:color w:val="auto"/>
        </w:rPr>
      </w:pPr>
    </w:p>
    <w:p>
      <w:pPr>
        <w:jc w:val="both"/>
        <w:ind w:left="620" w:firstLine="621"/>
        <w:spacing w:after="0" w:line="260" w:lineRule="auto"/>
        <w:tabs>
          <w:tab w:leader="none" w:pos="187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Investor, upon written notice delivered to the Company (or, in the case of clause (C) below, automatically and without notice from the Investor), if at any time: (A) the Company has (1) breached any of its covenants or agreements or (2) materially breached its representations or warranties (each, a “</w:t>
      </w:r>
      <w:r>
        <w:rPr>
          <w:rFonts w:ascii="Times New Roman" w:cs="Times New Roman" w:eastAsia="Times New Roman" w:hAnsi="Times New Roman"/>
          <w:sz w:val="17"/>
          <w:szCs w:val="17"/>
          <w:b w:val="1"/>
          <w:bCs w:val="1"/>
          <w:color w:val="auto"/>
        </w:rPr>
        <w:t>Terminating Company Breach</w:t>
      </w:r>
      <w:r>
        <w:rPr>
          <w:rFonts w:ascii="Times New Roman" w:cs="Times New Roman" w:eastAsia="Times New Roman" w:hAnsi="Times New Roman"/>
          <w:sz w:val="17"/>
          <w:szCs w:val="17"/>
          <w:color w:val="auto"/>
        </w:rPr>
        <w:t>”); (B) a Material Adverse Change has occurred since the date of this Agreement (provided, that none of (x) any change in the trading prices of any securities or loans of the Company, in and of itself, or (y) the execution, delivery or performance of this Agreement or the consummation of the transactions contemplated hereby, the public announcement of any of the foregoing, or any actions expressly required by, or the failure to take any action expressly prohibited by, the terms of this Agreement, shall constitute such a Material Adverse Change); (C) the Company or any subsidiary of the Company has or have commenced any voluntary case seeking relief under Title 11 of the United States Code entitled “Bankruptcy”, as now or hereafter in effect, or any other similar federal or state law (a “</w:t>
      </w:r>
      <w:r>
        <w:rPr>
          <w:rFonts w:ascii="Times New Roman" w:cs="Times New Roman" w:eastAsia="Times New Roman" w:hAnsi="Times New Roman"/>
          <w:sz w:val="17"/>
          <w:szCs w:val="17"/>
          <w:b w:val="1"/>
          <w:bCs w:val="1"/>
          <w:color w:val="auto"/>
        </w:rPr>
        <w:t>Bankruptcy Law</w:t>
      </w:r>
      <w:r>
        <w:rPr>
          <w:rFonts w:ascii="Times New Roman" w:cs="Times New Roman" w:eastAsia="Times New Roman" w:hAnsi="Times New Roman"/>
          <w:sz w:val="17"/>
          <w:szCs w:val="17"/>
          <w:color w:val="auto"/>
        </w:rPr>
        <w:t>”), or a court of competent jurisdiction enters an order or decree under any Bankruptcy Law that is for relief against the Company or any subsidiary in an involuntary case and such order or decree remains unstayed, (D) the Closing has not occurred in accordance with the terms hereof on or prior to June 4, 2025 or (E) the Company amends or modifies the terms or conditions of the Exchange set forth in this Agreement; and</w:t>
      </w:r>
    </w:p>
    <w:p>
      <w:pPr>
        <w:spacing w:after="0" w:line="182"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upon written notice delivered to the Investor, if the Investor has (A) breached its covenants or agreements or (B) materially breached any of its representations or warranties (each, a “</w:t>
      </w:r>
      <w:r>
        <w:rPr>
          <w:rFonts w:ascii="Times New Roman" w:cs="Times New Roman" w:eastAsia="Times New Roman" w:hAnsi="Times New Roman"/>
          <w:sz w:val="17"/>
          <w:szCs w:val="17"/>
          <w:b w:val="1"/>
          <w:bCs w:val="1"/>
          <w:color w:val="auto"/>
        </w:rPr>
        <w:t>Terminating Investor Breach</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color w:val="auto"/>
        </w:rPr>
      </w:pPr>
    </w:p>
    <w:p>
      <w:pPr>
        <w:ind w:left="-20" w:firstLine="633"/>
        <w:spacing w:after="0" w:line="298" w:lineRule="auto"/>
        <w:tabs>
          <w:tab w:leader="none" w:pos="1236"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Survival</w:t>
      </w:r>
      <w:r>
        <w:rPr>
          <w:rFonts w:ascii="Times New Roman" w:cs="Times New Roman" w:eastAsia="Times New Roman" w:hAnsi="Times New Roman"/>
          <w:sz w:val="17"/>
          <w:szCs w:val="17"/>
          <w:color w:val="auto"/>
        </w:rPr>
        <w:t>. Notwithstanding anything herein to the contrary, no termination of this Agreement shall relieve or otherwise limit the liability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Party for any breach of this Agreement occurring prior to such termination. </w:t>
      </w:r>
      <w:r>
        <w:rPr>
          <w:rFonts w:ascii="Times New Roman" w:cs="Times New Roman" w:eastAsia="Times New Roman" w:hAnsi="Times New Roman"/>
          <w:sz w:val="17"/>
          <w:szCs w:val="17"/>
          <w:b w:val="1"/>
          <w:bCs w:val="1"/>
          <w:color w:val="auto"/>
        </w:rPr>
        <w:t>Section 9</w:t>
      </w:r>
      <w:r>
        <w:rPr>
          <w:rFonts w:ascii="Times New Roman" w:cs="Times New Roman" w:eastAsia="Times New Roman" w:hAnsi="Times New Roman"/>
          <w:sz w:val="17"/>
          <w:szCs w:val="17"/>
          <w:color w:val="auto"/>
        </w:rPr>
        <w:t xml:space="preserve"> shall survive termination of this Agreement.</w:t>
      </w:r>
    </w:p>
    <w:p>
      <w:pPr>
        <w:spacing w:after="0" w:line="14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9.</w:t>
      </w:r>
      <w:r>
        <w:rPr>
          <w:sz w:val="20"/>
          <w:szCs w:val="20"/>
          <w:color w:val="auto"/>
        </w:rPr>
        <w:tab/>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1"/>
          <w:szCs w:val="11"/>
          <w:u w:val="single" w:color="auto"/>
          <w:color w:val="auto"/>
        </w:rPr>
        <w:t>ndemnity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20" w:firstLine="633"/>
        <w:spacing w:after="0" w:line="260" w:lineRule="auto"/>
        <w:tabs>
          <w:tab w:leader="none" w:pos="1236"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Indemnity and Hold Harmless</w:t>
      </w:r>
      <w:r>
        <w:rPr>
          <w:rFonts w:ascii="Times New Roman" w:cs="Times New Roman" w:eastAsia="Times New Roman" w:hAnsi="Times New Roman"/>
          <w:sz w:val="17"/>
          <w:szCs w:val="17"/>
          <w:color w:val="auto"/>
        </w:rPr>
        <w:t>. The Company hereby agrees to indemnify and hold harmless the Investor and its affiliates and its and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directors, employees, advisors, agents, other representatives and controlling persons (the Investor and each such other person being an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from and against any and all actual losses, claims, damages, liabilities and reasonable and documented costs or expenses, joint or several, that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imposed on, incurred by, or asserted against such Indemnified Person or as a result of any actual or threatened actions, litigations, investigations or proceedings by a party other than an Indemnified Person arising out of or in connection with this Agreement, the Exchange, the New Indenture, the New Notes, the Security Documents or any related guarantees, agreements, instruments or other documents (any of the foregoing,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xml:space="preserve">”), and to reimburse each such Indemnified Person upon written demand for any reasonable, documented legal or other out-of-pocket expenses incurred in connection with investigating or defending any of the foregoing by one counsel to the Indemnified Persons taken as a whole and, in the case of a conflict of interest, one additional counsel to the affected Indemnified Persons taken as a whole. The foregoing indemnity and the Company’s reimbursement obligations hereunder will be in addition to any liability which the Company may otherwise have and will be binding upon and inure to the benefit of any of the Company’s successors and assigns and the Indemnified Persons. Promptly after receipt by an Indemnified Person under this </w:t>
      </w:r>
      <w:r>
        <w:rPr>
          <w:rFonts w:ascii="Times New Roman" w:cs="Times New Roman" w:eastAsia="Times New Roman" w:hAnsi="Times New Roman"/>
          <w:sz w:val="17"/>
          <w:szCs w:val="17"/>
          <w:b w:val="1"/>
          <w:bCs w:val="1"/>
          <w:color w:val="auto"/>
        </w:rPr>
        <w:t>Section 9</w:t>
      </w:r>
      <w:r>
        <w:rPr>
          <w:rFonts w:ascii="Times New Roman" w:cs="Times New Roman" w:eastAsia="Times New Roman" w:hAnsi="Times New Roman"/>
          <w:sz w:val="17"/>
          <w:szCs w:val="17"/>
          <w:color w:val="auto"/>
        </w:rPr>
        <w:t xml:space="preserve"> of notice of the commencement of or the threat (to the extent such threat is in writing) of any action, claim, litigation or proceeding, such Indemnified Person will, if a claim in respect thereof is to be made against the Company under this </w:t>
      </w:r>
      <w:r>
        <w:rPr>
          <w:rFonts w:ascii="Times New Roman" w:cs="Times New Roman" w:eastAsia="Times New Roman" w:hAnsi="Times New Roman"/>
          <w:sz w:val="17"/>
          <w:szCs w:val="17"/>
          <w:b w:val="1"/>
          <w:bCs w:val="1"/>
          <w:color w:val="auto"/>
        </w:rPr>
        <w:t>Section 9</w:t>
      </w:r>
      <w:r>
        <w:rPr>
          <w:rFonts w:ascii="Times New Roman" w:cs="Times New Roman" w:eastAsia="Times New Roman" w:hAnsi="Times New Roman"/>
          <w:sz w:val="17"/>
          <w:szCs w:val="17"/>
          <w:color w:val="auto"/>
        </w:rPr>
        <w:t>, notify the Company in writing of the commencement or threat (to the extent such threat is in writing) thereof, but failure to so notify the Company will not relieve the Company from any liability it may have to such Indemnified Person hereunder except to the extent that the Company is actually prejudiced by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sectPr>
      </w:pPr>
    </w:p>
    <w:bookmarkStart w:id="24" w:name="page25"/>
    <w:bookmarkEnd w:id="24"/>
    <w:p>
      <w:pPr>
        <w:jc w:val="both"/>
        <w:ind w:left="-20" w:firstLine="633"/>
        <w:spacing w:after="0" w:line="262" w:lineRule="auto"/>
        <w:tabs>
          <w:tab w:leader="none" w:pos="1236"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Limitation on Liability</w:t>
      </w:r>
      <w:r>
        <w:rPr>
          <w:rFonts w:ascii="Times New Roman" w:cs="Times New Roman" w:eastAsia="Times New Roman" w:hAnsi="Times New Roman"/>
          <w:sz w:val="17"/>
          <w:szCs w:val="17"/>
          <w:color w:val="auto"/>
        </w:rPr>
        <w:t>. The indemnity described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9(a)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not, as to any Indemnified Person, apply to losses, claims, damages,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or related expenses (i) to the extent they have resulted from fraud, bad faith, willful misconduct or gross negligence of such Indemnified Person (as determined by a court of competent jurisdiction in a final and non-appealable decision), (ii) arising from a material breach of the obligations of such Indemnified Person under this Agreement or (iii) arising from a Proceeding that does not involve an act or omission by the Company or any of its Affiliates and that is brought by an Indemnified Person against any other Indemnified Person. Furthermore, no party hereto shall be liable to any other party on any theory of liability for any special, indirect, consequential or punitive damages (including, without limitation, any loss of profits, business or anticipated savings); provided that nothing contained in this sentence shall limit the Company’s indemnification and reimbursement obligations set forth herein. The Company shall not be liable for any settlement of any action, claim, litigation or proceeding effected without its written consent (which consent shall not be unreasonably withheld or delayed).</w:t>
      </w:r>
    </w:p>
    <w:p>
      <w:pPr>
        <w:spacing w:after="0" w:line="388"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10.</w:t>
      </w:r>
      <w:r>
        <w:rPr>
          <w:sz w:val="20"/>
          <w:szCs w:val="20"/>
          <w:color w:val="auto"/>
        </w:rPr>
        <w:tab/>
      </w:r>
      <w:r>
        <w:rPr>
          <w:rFonts w:ascii="Times New Roman" w:cs="Times New Roman" w:eastAsia="Times New Roman" w:hAnsi="Times New Roman"/>
          <w:sz w:val="17"/>
          <w:szCs w:val="17"/>
          <w:u w:val="single" w:color="auto"/>
          <w:color w:val="auto"/>
        </w:rPr>
        <w:t>M</w:t>
      </w:r>
      <w:r>
        <w:rPr>
          <w:rFonts w:ascii="Times New Roman" w:cs="Times New Roman" w:eastAsia="Times New Roman" w:hAnsi="Times New Roman"/>
          <w:sz w:val="11"/>
          <w:szCs w:val="11"/>
          <w:u w:val="single" w:color="auto"/>
          <w:color w:val="auto"/>
        </w:rPr>
        <w:t>iscellaneous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0" w:firstLine="633"/>
        <w:spacing w:after="0" w:line="298" w:lineRule="auto"/>
        <w:tabs>
          <w:tab w:leader="none" w:pos="123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Waiver; Amendment</w:t>
      </w:r>
      <w:r>
        <w:rPr>
          <w:rFonts w:ascii="Times New Roman" w:cs="Times New Roman" w:eastAsia="Times New Roman" w:hAnsi="Times New Roman"/>
          <w:sz w:val="17"/>
          <w:szCs w:val="17"/>
          <w:color w:val="auto"/>
        </w:rPr>
        <w:t>. Neither this Agreement nor any provisions hereof may be amended, waived, modified, changed, discharged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terminated except by an instrument in writing, signed by all the parties hereto.</w:t>
      </w:r>
    </w:p>
    <w:p>
      <w:pPr>
        <w:spacing w:after="0" w:line="142" w:lineRule="exact"/>
        <w:rPr>
          <w:rFonts w:ascii="Times New Roman" w:cs="Times New Roman" w:eastAsia="Times New Roman" w:hAnsi="Times New Roman"/>
          <w:sz w:val="17"/>
          <w:szCs w:val="17"/>
          <w:i w:val="1"/>
          <w:iCs w:val="1"/>
          <w:color w:val="auto"/>
        </w:rPr>
      </w:pPr>
    </w:p>
    <w:p>
      <w:pPr>
        <w:jc w:val="both"/>
        <w:ind w:left="-20" w:firstLine="633"/>
        <w:spacing w:after="0" w:line="277" w:lineRule="auto"/>
        <w:tabs>
          <w:tab w:leader="none" w:pos="123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Assignability</w:t>
      </w:r>
      <w:r>
        <w:rPr>
          <w:rFonts w:ascii="Times New Roman" w:cs="Times New Roman" w:eastAsia="Times New Roman" w:hAnsi="Times New Roman"/>
          <w:sz w:val="17"/>
          <w:szCs w:val="17"/>
          <w:color w:val="auto"/>
        </w:rPr>
        <w:t>. Neither this Agreement nor any right, remedy, obligation or liability arising hereunder or by reason hereof will be assignable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either the Company or any Guarantor, on the one hand, or the Investor or any Exchanging Investor, on the other hand, without the prior written consent of the other party. Any assignment in violation of the foregoing shall be null and void.</w:t>
      </w:r>
    </w:p>
    <w:p>
      <w:pPr>
        <w:spacing w:after="0" w:line="160" w:lineRule="exact"/>
        <w:rPr>
          <w:rFonts w:ascii="Times New Roman" w:cs="Times New Roman" w:eastAsia="Times New Roman" w:hAnsi="Times New Roman"/>
          <w:sz w:val="17"/>
          <w:szCs w:val="17"/>
          <w:i w:val="1"/>
          <w:iCs w:val="1"/>
          <w:color w:val="auto"/>
        </w:rPr>
      </w:pPr>
    </w:p>
    <w:p>
      <w:pPr>
        <w:jc w:val="both"/>
        <w:ind w:left="-20" w:firstLine="633"/>
        <w:spacing w:after="0" w:line="270" w:lineRule="auto"/>
        <w:tabs>
          <w:tab w:leader="none" w:pos="123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Further Instruments and Acts</w:t>
      </w:r>
      <w:r>
        <w:rPr>
          <w:rFonts w:ascii="Times New Roman" w:cs="Times New Roman" w:eastAsia="Times New Roman" w:hAnsi="Times New Roman"/>
          <w:sz w:val="17"/>
          <w:szCs w:val="17"/>
          <w:color w:val="auto"/>
        </w:rPr>
        <w:t>. Each of the parties to this Agreement agrees to execute and deliver such further agreements, certificates,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instruments and documents as any other party may reasonably request in order to carry out the intent and accomplish the purposes of this Agreement and the consummation of the transactions contemplated hereby, and do such further acts as may be reasonably necessary or proper to more effectively carry out the purposes of this Agreement.</w:t>
      </w:r>
    </w:p>
    <w:p>
      <w:pPr>
        <w:spacing w:after="0" w:line="167" w:lineRule="exact"/>
        <w:rPr>
          <w:rFonts w:ascii="Times New Roman" w:cs="Times New Roman" w:eastAsia="Times New Roman" w:hAnsi="Times New Roman"/>
          <w:sz w:val="17"/>
          <w:szCs w:val="17"/>
          <w:i w:val="1"/>
          <w:iCs w:val="1"/>
          <w:color w:val="auto"/>
        </w:rPr>
      </w:pPr>
    </w:p>
    <w:p>
      <w:pPr>
        <w:jc w:val="both"/>
        <w:ind w:left="-20" w:firstLine="633"/>
        <w:spacing w:after="0" w:line="270" w:lineRule="auto"/>
        <w:tabs>
          <w:tab w:leader="none" w:pos="123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EACH OF THE COMPANY, THE GUARANTORS, THE INVESTOR AND THE EXCHANGING INVESTORS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IRREVOCABLY WAIVES ANY AND ALL RIGHT TO TRIAL BY JURY WITH RESPECT TO ANY LEGAL PROCEEDING IN CONNECTION WITH OR ARISING OUT OF THIS AGREEMENT OR THE TRANSACTIONS CONTEMPLATED BY THIS AGREEMENT (WHETHER BASED ON CONTRACT, TORT OR ANY OTHER THEORY).</w:t>
      </w:r>
    </w:p>
    <w:p>
      <w:pPr>
        <w:spacing w:after="0" w:line="167" w:lineRule="exact"/>
        <w:rPr>
          <w:rFonts w:ascii="Times New Roman" w:cs="Times New Roman" w:eastAsia="Times New Roman" w:hAnsi="Times New Roman"/>
          <w:sz w:val="17"/>
          <w:szCs w:val="17"/>
          <w:i w:val="1"/>
          <w:iCs w:val="1"/>
          <w:color w:val="auto"/>
        </w:rPr>
      </w:pPr>
    </w:p>
    <w:p>
      <w:pPr>
        <w:jc w:val="both"/>
        <w:ind w:left="-20" w:firstLine="633"/>
        <w:spacing w:after="0" w:line="261" w:lineRule="auto"/>
        <w:tabs>
          <w:tab w:leader="none" w:pos="123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Governing Law; Jurisdiction</w:t>
      </w:r>
      <w:r>
        <w:rPr>
          <w:rFonts w:ascii="Times New Roman" w:cs="Times New Roman" w:eastAsia="Times New Roman" w:hAnsi="Times New Roman"/>
          <w:sz w:val="17"/>
          <w:szCs w:val="17"/>
          <w:color w:val="auto"/>
        </w:rPr>
        <w:t>. This Agreement will be governed by and construed in accordance with the internal laws of the State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25" w:name="page26"/>
    <w:bookmarkEnd w:id="25"/>
    <w:p>
      <w:pPr>
        <w:ind w:left="-20" w:firstLine="633"/>
        <w:spacing w:after="0" w:line="298"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Section and Other Headings</w:t>
      </w:r>
      <w:r>
        <w:rPr>
          <w:rFonts w:ascii="Times New Roman" w:cs="Times New Roman" w:eastAsia="Times New Roman" w:hAnsi="Times New Roman"/>
          <w:sz w:val="17"/>
          <w:szCs w:val="17"/>
          <w:color w:val="auto"/>
        </w:rPr>
        <w:t>. The section and other headings contained in this Agreement are for reference purposes only and will not affect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meaning or interpretation of this Agreement.</w:t>
      </w:r>
    </w:p>
    <w:p>
      <w:pPr>
        <w:spacing w:after="0" w:line="142" w:lineRule="exact"/>
        <w:rPr>
          <w:rFonts w:ascii="Times New Roman" w:cs="Times New Roman" w:eastAsia="Times New Roman" w:hAnsi="Times New Roman"/>
          <w:sz w:val="17"/>
          <w:szCs w:val="17"/>
          <w:i w:val="1"/>
          <w:iCs w:val="1"/>
          <w:color w:val="auto"/>
        </w:rPr>
      </w:pPr>
    </w:p>
    <w:p>
      <w:pPr>
        <w:jc w:val="both"/>
        <w:ind w:left="-20" w:firstLine="633"/>
        <w:spacing w:after="0" w:line="277"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executed in any number of counterparts, each of which when so executed and delivered will be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an original and all of which together will be deemed to be one and the same agreement. Delivery of an executed signature page to this Agreement by facsimile or other electronic transmission (including pdf format) will be effective as delivery of a manually executed counterpart hereof.</w:t>
      </w:r>
    </w:p>
    <w:p>
      <w:pPr>
        <w:spacing w:after="0" w:line="160" w:lineRule="exact"/>
        <w:rPr>
          <w:rFonts w:ascii="Times New Roman" w:cs="Times New Roman" w:eastAsia="Times New Roman" w:hAnsi="Times New Roman"/>
          <w:sz w:val="17"/>
          <w:szCs w:val="17"/>
          <w:i w:val="1"/>
          <w:iCs w:val="1"/>
          <w:color w:val="auto"/>
        </w:rPr>
      </w:pPr>
    </w:p>
    <w:p>
      <w:pPr>
        <w:jc w:val="both"/>
        <w:ind w:left="-20" w:firstLine="633"/>
        <w:spacing w:after="0" w:line="263"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All notices and other communications to the Company or any Guarantor provided for herein will be in writing and will be deemed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been duly given if delivered personally or sent by nationally recognized overnight courier service or by registered or certified mail, return receipt requested, postage prepaid to the following addresses (or such other address as either party may have hereafter specified by notice in writing to the other): (i) if to the Company, The Beauty Health Company, 2165 Spring Street, Long Beach, California 90806, Attention: General Counsel, with a copy to Latham &amp; Watkins LLP, 10250 Constellation Blvd Suite 1100, Century City, CA 90067, Attention: Gregory P. Rodgers, Brent T. Epstein, Seniz Yakut and Andrew Blumenthal; and (ii) if to the Investor or any Exchanging Investor, the address provided on the signature page hereto of the Investor, with a copy to Sullivan &amp; Cromwell LLP, 125 Broad Street, New York, NY 10004, Attention: Ari B. Blaut and Alan Fishman.</w:t>
      </w:r>
    </w:p>
    <w:p>
      <w:pPr>
        <w:spacing w:after="0" w:line="175" w:lineRule="exact"/>
        <w:rPr>
          <w:rFonts w:ascii="Times New Roman" w:cs="Times New Roman" w:eastAsia="Times New Roman" w:hAnsi="Times New Roman"/>
          <w:sz w:val="17"/>
          <w:szCs w:val="17"/>
          <w:i w:val="1"/>
          <w:iCs w:val="1"/>
          <w:color w:val="auto"/>
        </w:rPr>
      </w:pPr>
    </w:p>
    <w:p>
      <w:pPr>
        <w:ind w:left="-20" w:firstLine="633"/>
        <w:spacing w:after="0" w:line="298"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Binding Effect</w:t>
      </w:r>
      <w:r>
        <w:rPr>
          <w:rFonts w:ascii="Times New Roman" w:cs="Times New Roman" w:eastAsia="Times New Roman" w:hAnsi="Times New Roman"/>
          <w:sz w:val="17"/>
          <w:szCs w:val="17"/>
          <w:color w:val="auto"/>
        </w:rPr>
        <w:t>. The provisions of this Agreement will be binding upon and accrue to the benefit of the parties hereto and the Exchanging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Investors and their respective heirs, legal representatives, successors and permitted assigns.</w:t>
      </w:r>
    </w:p>
    <w:p>
      <w:pPr>
        <w:spacing w:after="0" w:line="142" w:lineRule="exact"/>
        <w:rPr>
          <w:rFonts w:ascii="Times New Roman" w:cs="Times New Roman" w:eastAsia="Times New Roman" w:hAnsi="Times New Roman"/>
          <w:sz w:val="17"/>
          <w:szCs w:val="17"/>
          <w:i w:val="1"/>
          <w:iCs w:val="1"/>
          <w:color w:val="auto"/>
        </w:rPr>
      </w:pPr>
    </w:p>
    <w:p>
      <w:pPr>
        <w:jc w:val="both"/>
        <w:ind w:left="-20" w:firstLine="633"/>
        <w:spacing w:after="0" w:line="277"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Notification of Changes</w:t>
      </w:r>
      <w:r>
        <w:rPr>
          <w:rFonts w:ascii="Times New Roman" w:cs="Times New Roman" w:eastAsia="Times New Roman" w:hAnsi="Times New Roman"/>
          <w:sz w:val="17"/>
          <w:szCs w:val="17"/>
          <w:color w:val="auto"/>
        </w:rPr>
        <w:t>. Each party covenants and agrees to notify the other party upon the occurrence of any event prior to the Closing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cause any representation, warranty, or covenant of the first party (in the case of the Investor, made on behalf of itself and each Exchanging Investor), contained in this Agreement to be false or incorrect.</w:t>
      </w:r>
    </w:p>
    <w:p>
      <w:pPr>
        <w:spacing w:after="0" w:line="160" w:lineRule="exact"/>
        <w:rPr>
          <w:rFonts w:ascii="Times New Roman" w:cs="Times New Roman" w:eastAsia="Times New Roman" w:hAnsi="Times New Roman"/>
          <w:sz w:val="17"/>
          <w:szCs w:val="17"/>
          <w:i w:val="1"/>
          <w:iCs w:val="1"/>
          <w:color w:val="auto"/>
        </w:rPr>
      </w:pPr>
    </w:p>
    <w:p>
      <w:pPr>
        <w:jc w:val="both"/>
        <w:ind w:left="-20" w:firstLine="633"/>
        <w:spacing w:after="0" w:line="290"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If any term or provision of this Agreement is invalid, illegal or unenforceable in any jurisdiction, such invalidity, illegality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unenforceability will not affect any other term or provision of this Agreement or invalidate or render unenforceable such term or provision in any other jurisdiction.</w:t>
      </w:r>
    </w:p>
    <w:p>
      <w:pPr>
        <w:spacing w:after="0" w:line="364" w:lineRule="exact"/>
        <w:rPr>
          <w:rFonts w:ascii="Times New Roman" w:cs="Times New Roman" w:eastAsia="Times New Roman" w:hAnsi="Times New Roman"/>
          <w:sz w:val="17"/>
          <w:szCs w:val="17"/>
          <w:i w:val="1"/>
          <w:iCs w:val="1"/>
          <w:color w:val="auto"/>
        </w:rPr>
      </w:pPr>
    </w:p>
    <w:p>
      <w:pPr>
        <w:jc w:val="both"/>
        <w:ind w:left="-20" w:firstLine="633"/>
        <w:spacing w:after="0" w:line="277"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Entire Agreement</w:t>
      </w:r>
      <w:r>
        <w:rPr>
          <w:rFonts w:ascii="Times New Roman" w:cs="Times New Roman" w:eastAsia="Times New Roman" w:hAnsi="Times New Roman"/>
          <w:sz w:val="17"/>
          <w:szCs w:val="17"/>
          <w:color w:val="auto"/>
        </w:rPr>
        <w:t>. This Agreement, including all Exhibits hereto and the New Notes Indenture constitute the entire agreement of the parties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hereto with respect to the specific subject matter covered hereby, and supersede in their entirety all other agreements or understandings between or among the parties with respect to such specific subject matter.</w:t>
      </w:r>
    </w:p>
    <w:p>
      <w:pPr>
        <w:spacing w:after="0" w:line="160" w:lineRule="exact"/>
        <w:rPr>
          <w:rFonts w:ascii="Times New Roman" w:cs="Times New Roman" w:eastAsia="Times New Roman" w:hAnsi="Times New Roman"/>
          <w:sz w:val="17"/>
          <w:szCs w:val="17"/>
          <w:i w:val="1"/>
          <w:iCs w:val="1"/>
          <w:color w:val="auto"/>
        </w:rPr>
      </w:pPr>
    </w:p>
    <w:p>
      <w:pPr>
        <w:jc w:val="both"/>
        <w:ind w:left="-20" w:firstLine="633"/>
        <w:spacing w:after="0" w:line="277"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Reliance by GS; Third Party Beneficiary</w:t>
      </w:r>
      <w:r>
        <w:rPr>
          <w:rFonts w:ascii="Times New Roman" w:cs="Times New Roman" w:eastAsia="Times New Roman" w:hAnsi="Times New Roman"/>
          <w:sz w:val="17"/>
          <w:szCs w:val="17"/>
          <w:color w:val="auto"/>
        </w:rPr>
        <w:t>. GS, acting as financial advisor to the Company, may rely on each representation and warranty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and of the Investor, made on behalf of itself and each Exchanging Investor, herein or pursuant to the terms hereof with the same force and effect as if such representation or warranty were made directly to GS. GS will be a third-party beneficiary of this Agreement to the extent provided in this </w:t>
      </w:r>
      <w:r>
        <w:rPr>
          <w:rFonts w:ascii="Times New Roman" w:cs="Times New Roman" w:eastAsia="Times New Roman" w:hAnsi="Times New Roman"/>
          <w:sz w:val="17"/>
          <w:szCs w:val="17"/>
          <w:b w:val="1"/>
          <w:bCs w:val="1"/>
          <w:color w:val="auto"/>
        </w:rPr>
        <w:t>Section 10(m)</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i w:val="1"/>
          <w:iCs w:val="1"/>
          <w:color w:val="auto"/>
        </w:rPr>
      </w:pPr>
    </w:p>
    <w:p>
      <w:pPr>
        <w:jc w:val="both"/>
        <w:ind w:left="-20" w:firstLine="633"/>
        <w:spacing w:after="0" w:line="277" w:lineRule="auto"/>
        <w:tabs>
          <w:tab w:leader="none" w:pos="123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Additional Documentation</w:t>
      </w:r>
      <w:r>
        <w:rPr>
          <w:rFonts w:ascii="Times New Roman" w:cs="Times New Roman" w:eastAsia="Times New Roman" w:hAnsi="Times New Roman"/>
          <w:sz w:val="17"/>
          <w:szCs w:val="17"/>
          <w:color w:val="auto"/>
        </w:rPr>
        <w:t>. Each of the parties shall, upon request, use commercially reasonable efforts to execute and deliver, for itself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case of the Investor, on behalf of any Exchanging Investor), any additional documents that the Company, the Existing Notes Trustee, the New Notes Trustee, the Collateral Agent or the Investor may reasonably request to complete the Exchange.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26" w:name="page27"/>
    <w:bookmarkEnd w:id="26"/>
    <w:p>
      <w:pPr>
        <w:jc w:val="both"/>
        <w:ind w:firstLine="628"/>
        <w:spacing w:after="0" w:line="260" w:lineRule="auto"/>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7"/>
          <w:szCs w:val="17"/>
          <w:color w:val="auto"/>
        </w:rPr>
        <w:t xml:space="preserve"> 11. </w:t>
      </w:r>
      <w:r>
        <w:rPr>
          <w:rFonts w:ascii="Times New Roman" w:cs="Times New Roman" w:eastAsia="Times New Roman" w:hAnsi="Times New Roman"/>
          <w:sz w:val="17"/>
          <w:szCs w:val="17"/>
          <w:u w:val="single" w:color="auto"/>
          <w:color w:val="auto"/>
        </w:rPr>
        <w:t>[T</w:t>
      </w:r>
      <w:r>
        <w:rPr>
          <w:rFonts w:ascii="Times New Roman" w:cs="Times New Roman" w:eastAsia="Times New Roman" w:hAnsi="Times New Roman"/>
          <w:sz w:val="11"/>
          <w:szCs w:val="11"/>
          <w:u w:val="single" w:color="auto"/>
          <w:color w:val="auto"/>
        </w:rPr>
        <w: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w:t>
      </w:r>
      <w:r>
        <w:rPr>
          <w:rFonts w:ascii="Times New Roman" w:cs="Times New Roman" w:eastAsia="Times New Roman" w:hAnsi="Times New Roman"/>
          <w:sz w:val="11"/>
          <w:szCs w:val="11"/>
          <w:u w:val="single" w:color="auto"/>
          <w:color w:val="auto"/>
        </w:rPr>
        <w:t>atters</w:t>
      </w:r>
      <w:r>
        <w:rPr>
          <w:rFonts w:ascii="Times New Roman" w:cs="Times New Roman" w:eastAsia="Times New Roman" w:hAnsi="Times New Roman"/>
          <w:sz w:val="17"/>
          <w:szCs w:val="17"/>
          <w:color w:val="auto"/>
        </w:rPr>
        <w:t>. The Investor acknowledges that, if an Exchanging Investor is a United States person for U.S. federal income tax purposes, then the Company must be provided with a correct taxpayer identification number (generally, a person’s social security or federal employer identification number) and certain other information on a properly completed and executed IRS Form W-9, which is provided herein on Exhibit D attached to this Agreement. The Investor further acknowledges that, if an Exchanging Investor is not a United States person for U.S. federal income tax purposes, then the Company must be provided with the appropriate properly completed and executed IRS Form W-8, attesting to that non-U.S. Exchanging Investor’s foreign status and certain other information, including information establishing an exemption from withholding under Sections 1471 through 1474 of the Code. The Investor further acknowledges that any Exchanging Investor may be subject to 30% U.S. federal withholding or 24% U.S. federal backup withholding on certain payments or deliveries made to such Exchanging Investor unless such Exchanging Investor properly establishes an exemption from, or a reduced rate of, such withholding or backup withholding. Without limiting the generality of the foregoing, each Exchanging Investor hereby represents that it is able to receive any Exchange Consideration hereunder (including any amounts attributable to accrued and unpaid interest) without any U.S. withholding tax and is entitled to provide U.S. tax forms and required attachments indicating the same (including, where relevant, any certifications indicating that the Exchanging Investor fulfills the requirements of “portfolio interest exemption” as indicated in Exhibit D) and agrees to hold the Company and its agents harmless for the breach of such representation.]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The Remainder of This Page Intentionally Left Blank; Signature Pages Follow</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to this Agreement have caused this Agreement to be duly executed as of the date first written above.</w:t>
      </w:r>
    </w:p>
    <w:p>
      <w:pPr>
        <w:sectPr>
          <w:pgSz w:w="11900" w:h="16838" w:orient="portrait"/>
          <w:cols w:equalWidth="0" w:num="1">
            <w:col w:w="10460"/>
          </w:cols>
          <w:pgMar w:left="320" w:top="983"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834390</wp:posOffset>
            </wp:positionV>
            <wp:extent cx="32150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150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560705</wp:posOffset>
            </wp:positionV>
            <wp:extent cx="32150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50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286385</wp:posOffset>
            </wp:positionV>
            <wp:extent cx="32150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Country (and, if applicable, State)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3215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7"/>
          <w:szCs w:val="17"/>
          <w:color w:val="auto"/>
        </w:rPr>
        <w:t>Aggregate Principal Amount of Existing Notes to be Exchanged by All Exchanging Investors (</w:t>
      </w:r>
      <w:r>
        <w:rPr>
          <w:rFonts w:ascii="Times New Roman" w:cs="Times New Roman" w:eastAsia="Times New Roman" w:hAnsi="Times New Roman"/>
          <w:sz w:val="17"/>
          <w:szCs w:val="17"/>
          <w:b w:val="1"/>
          <w:bCs w:val="1"/>
          <w:u w:val="single" w:color="auto"/>
          <w:color w:val="auto"/>
        </w:rPr>
        <w:t>must be an integral multiple of $1,000</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w:t>
      </w:r>
    </w:p>
    <w:p>
      <w:pPr>
        <w:spacing w:after="0" w:line="200" w:lineRule="exact"/>
        <w:rPr>
          <w:sz w:val="20"/>
          <w:szCs w:val="20"/>
          <w:color w:val="auto"/>
        </w:rPr>
      </w:pPr>
    </w:p>
    <w:p>
      <w:pPr>
        <w:spacing w:after="0" w:line="246"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17"/>
          <w:szCs w:val="17"/>
          <w:color w:val="auto"/>
        </w:rPr>
        <w:t>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3206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-123190</wp:posOffset>
            </wp:positionV>
            <wp:extent cx="2990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286385</wp:posOffset>
            </wp:positionV>
            <wp:extent cx="32067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294640</wp:posOffset>
            </wp:positionV>
            <wp:extent cx="3206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2541" w:lineRule="exact"/>
        <w:rPr>
          <w:sz w:val="20"/>
          <w:szCs w:val="20"/>
          <w:color w:val="auto"/>
        </w:rPr>
      </w:pPr>
    </w:p>
    <w:p>
      <w:pPr>
        <w:sectPr>
          <w:pgSz w:w="11900" w:h="16838" w:orient="portrait"/>
          <w:cols w:equalWidth="0" w:num="2">
            <w:col w:w="5480" w:space="720"/>
            <w:col w:w="4260"/>
          </w:cols>
          <w:pgMar w:left="320" w:top="983"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460"/>
          </w:cols>
          <w:pgMar w:left="320" w:top="983" w:right="1119" w:bottom="1440" w:gutter="0" w:footer="0" w:header="0"/>
          <w:type w:val="continuous"/>
        </w:sectPr>
      </w:pPr>
    </w:p>
    <w:bookmarkStart w:id="28" w:name="page29"/>
    <w:bookmarkEnd w:id="28"/>
    <w:p>
      <w:pPr>
        <w:ind w:left="328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1"/>
          <w:szCs w:val="11"/>
          <w:color w:val="auto"/>
        </w:rPr>
        <w:t>ompany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1"/>
          <w:szCs w:val="11"/>
          <w:color w:val="auto"/>
        </w:rPr>
        <w:t>he</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1"/>
          <w:szCs w:val="11"/>
          <w:color w:val="auto"/>
        </w:rPr>
        <w:t>eauty</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1"/>
          <w:szCs w:val="11"/>
          <w:color w:val="auto"/>
        </w:rPr>
        <w:t>ealth</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ompany</w:t>
      </w:r>
    </w:p>
    <w:p>
      <w:pPr>
        <w:spacing w:after="0" w:line="2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By:___________________________________</w:t>
      </w:r>
    </w:p>
    <w:p>
      <w:pPr>
        <w:spacing w:after="0" w:line="32" w:lineRule="exact"/>
        <w:rPr>
          <w:sz w:val="20"/>
          <w:szCs w:val="20"/>
          <w:color w:val="auto"/>
        </w:rPr>
      </w:pPr>
    </w:p>
    <w:p>
      <w:pPr>
        <w:ind w:left="3760"/>
        <w:spacing w:after="0"/>
        <w:tabs>
          <w:tab w:leader="none" w:pos="4360" w:val="left"/>
        </w:tabs>
        <w:rPr>
          <w:sz w:val="20"/>
          <w:szCs w:val="20"/>
          <w:color w:val="auto"/>
        </w:rPr>
      </w:pPr>
      <w:r>
        <w:rPr>
          <w:rFonts w:ascii="Times New Roman" w:cs="Times New Roman" w:eastAsia="Times New Roman" w:hAnsi="Times New Roman"/>
          <w:sz w:val="17"/>
          <w:szCs w:val="17"/>
          <w:color w:val="auto"/>
        </w:rPr>
        <w:t>Name:</w:t>
        <w:tab/>
        <w:t>Michael Monahan</w:t>
      </w:r>
    </w:p>
    <w:p>
      <w:pPr>
        <w:spacing w:after="0" w:line="14" w:lineRule="exact"/>
        <w:rPr>
          <w:sz w:val="20"/>
          <w:szCs w:val="20"/>
          <w:color w:val="auto"/>
        </w:rPr>
      </w:pPr>
    </w:p>
    <w:p>
      <w:pPr>
        <w:ind w:left="3760"/>
        <w:spacing w:after="0"/>
        <w:tabs>
          <w:tab w:leader="none" w:pos="4360" w:val="left"/>
        </w:tabs>
        <w:rPr>
          <w:sz w:val="20"/>
          <w:szCs w:val="20"/>
          <w:color w:val="auto"/>
        </w:rPr>
      </w:pPr>
      <w:r>
        <w:rPr>
          <w:rFonts w:ascii="Times New Roman" w:cs="Times New Roman" w:eastAsia="Times New Roman" w:hAnsi="Times New Roman"/>
          <w:sz w:val="17"/>
          <w:szCs w:val="17"/>
          <w:color w:val="auto"/>
        </w:rPr>
        <w:t>Title:</w:t>
        <w:tab/>
        <w:t>Chief Financial Officer and Treasurer</w:t>
      </w: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G</w:t>
      </w:r>
      <w:r>
        <w:rPr>
          <w:rFonts w:ascii="Times New Roman" w:cs="Times New Roman" w:eastAsia="Times New Roman" w:hAnsi="Times New Roman"/>
          <w:sz w:val="11"/>
          <w:szCs w:val="11"/>
          <w:color w:val="auto"/>
        </w:rPr>
        <w:t>uarantors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E</w:t>
      </w:r>
      <w:r>
        <w:rPr>
          <w:rFonts w:ascii="Times New Roman" w:cs="Times New Roman" w:eastAsia="Times New Roman" w:hAnsi="Times New Roman"/>
          <w:sz w:val="11"/>
          <w:szCs w:val="11"/>
          <w:color w:val="auto"/>
        </w:rPr>
        <w:t>dge</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1"/>
          <w:szCs w:val="11"/>
          <w:color w:val="auto"/>
        </w:rPr>
        <w:t>ystems</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1"/>
          <w:szCs w:val="11"/>
          <w:color w:val="auto"/>
        </w:rPr>
        <w:t>oldings</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orporation</w:t>
      </w:r>
    </w:p>
    <w:p>
      <w:pPr>
        <w:spacing w:after="0" w:line="3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E</w:t>
      </w:r>
      <w:r>
        <w:rPr>
          <w:rFonts w:ascii="Times New Roman" w:cs="Times New Roman" w:eastAsia="Times New Roman" w:hAnsi="Times New Roman"/>
          <w:sz w:val="11"/>
          <w:szCs w:val="11"/>
          <w:color w:val="auto"/>
        </w:rPr>
        <w:t>dge</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1"/>
          <w:szCs w:val="11"/>
          <w:color w:val="auto"/>
        </w:rPr>
        <w:t>ystems</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1"/>
          <w:szCs w:val="11"/>
          <w:color w:val="auto"/>
        </w:rPr>
        <w:t>ntermediate</w:t>
      </w:r>
      <w:r>
        <w:rPr>
          <w:rFonts w:ascii="Times New Roman" w:cs="Times New Roman" w:eastAsia="Times New Roman" w:hAnsi="Times New Roman"/>
          <w:sz w:val="17"/>
          <w:szCs w:val="17"/>
          <w:color w:val="auto"/>
        </w:rPr>
        <w:t>, LLC</w:t>
      </w:r>
    </w:p>
    <w:p>
      <w:pPr>
        <w:spacing w:after="0" w:line="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E</w:t>
      </w:r>
      <w:r>
        <w:rPr>
          <w:rFonts w:ascii="Times New Roman" w:cs="Times New Roman" w:eastAsia="Times New Roman" w:hAnsi="Times New Roman"/>
          <w:sz w:val="11"/>
          <w:szCs w:val="11"/>
          <w:color w:val="auto"/>
        </w:rPr>
        <w:t>sthetic</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1"/>
          <w:szCs w:val="11"/>
          <w:color w:val="auto"/>
        </w:rPr>
        <w:t>edical</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1"/>
          <w:szCs w:val="11"/>
          <w:color w:val="auto"/>
        </w:rPr>
        <w:t>nc</w:t>
      </w:r>
    </w:p>
    <w:p>
      <w:pPr>
        <w:spacing w:after="0" w:line="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H</w:t>
      </w:r>
      <w:r>
        <w:rPr>
          <w:rFonts w:ascii="Times New Roman" w:cs="Times New Roman" w:eastAsia="Times New Roman" w:hAnsi="Times New Roman"/>
          <w:sz w:val="11"/>
          <w:szCs w:val="11"/>
          <w:color w:val="auto"/>
        </w:rPr>
        <w:t>ydra</w:t>
      </w:r>
      <w:r>
        <w:rPr>
          <w:rFonts w:ascii="Times New Roman" w:cs="Times New Roman" w:eastAsia="Times New Roman" w:hAnsi="Times New Roman"/>
          <w:sz w:val="17"/>
          <w:szCs w:val="17"/>
          <w:color w:val="auto"/>
        </w:rPr>
        <w:t>F</w:t>
      </w:r>
      <w:r>
        <w:rPr>
          <w:rFonts w:ascii="Times New Roman" w:cs="Times New Roman" w:eastAsia="Times New Roman" w:hAnsi="Times New Roman"/>
          <w:sz w:val="11"/>
          <w:szCs w:val="11"/>
          <w:color w:val="auto"/>
        </w:rPr>
        <w:t>acial</w:t>
      </w:r>
      <w:r>
        <w:rPr>
          <w:rFonts w:ascii="Times New Roman" w:cs="Times New Roman" w:eastAsia="Times New Roman" w:hAnsi="Times New Roman"/>
          <w:sz w:val="17"/>
          <w:szCs w:val="17"/>
          <w:color w:val="auto"/>
        </w:rPr>
        <w:t xml:space="preserve"> LLC</w:t>
      </w:r>
    </w:p>
    <w:p>
      <w:pPr>
        <w:spacing w:after="0" w:line="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LCP E</w:t>
      </w:r>
      <w:r>
        <w:rPr>
          <w:rFonts w:ascii="Times New Roman" w:cs="Times New Roman" w:eastAsia="Times New Roman" w:hAnsi="Times New Roman"/>
          <w:sz w:val="11"/>
          <w:szCs w:val="11"/>
          <w:color w:val="auto"/>
        </w:rPr>
        <w:t>dge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1"/>
          <w:szCs w:val="11"/>
          <w:color w:val="auto"/>
        </w:rPr>
        <w:t>ntermediate</w:t>
      </w:r>
      <w:r>
        <w:rPr>
          <w:rFonts w:ascii="Times New Roman" w:cs="Times New Roman" w:eastAsia="Times New Roman" w:hAnsi="Times New Roman"/>
          <w:sz w:val="17"/>
          <w:szCs w:val="17"/>
          <w:color w:val="auto"/>
        </w:rPr>
        <w:t>, LLC</w:t>
      </w:r>
    </w:p>
    <w:p>
      <w:pPr>
        <w:spacing w:after="0" w:line="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1"/>
          <w:szCs w:val="11"/>
          <w:color w:val="auto"/>
        </w:rPr>
        <w:t>he</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1"/>
          <w:szCs w:val="11"/>
          <w:color w:val="auto"/>
        </w:rPr>
        <w:t>ydra</w:t>
      </w:r>
      <w:r>
        <w:rPr>
          <w:rFonts w:ascii="Times New Roman" w:cs="Times New Roman" w:eastAsia="Times New Roman" w:hAnsi="Times New Roman"/>
          <w:sz w:val="17"/>
          <w:szCs w:val="17"/>
          <w:color w:val="auto"/>
        </w:rPr>
        <w:t>F</w:t>
      </w:r>
      <w:r>
        <w:rPr>
          <w:rFonts w:ascii="Times New Roman" w:cs="Times New Roman" w:eastAsia="Times New Roman" w:hAnsi="Times New Roman"/>
          <w:sz w:val="11"/>
          <w:szCs w:val="11"/>
          <w:color w:val="auto"/>
        </w:rPr>
        <w:t>acial</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ompany</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1"/>
          <w:szCs w:val="11"/>
          <w:color w:val="auto"/>
        </w:rPr>
        <w:t>exico</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1"/>
          <w:szCs w:val="11"/>
          <w:color w:val="auto"/>
        </w:rPr>
        <w:t>oldings</w:t>
      </w:r>
      <w:r>
        <w:rPr>
          <w:rFonts w:ascii="Times New Roman" w:cs="Times New Roman" w:eastAsia="Times New Roman" w:hAnsi="Times New Roman"/>
          <w:sz w:val="17"/>
          <w:szCs w:val="17"/>
          <w:color w:val="auto"/>
        </w:rPr>
        <w:t>, LLC</w:t>
      </w:r>
    </w:p>
    <w:p>
      <w:pPr>
        <w:spacing w:after="0" w:line="2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By:___________________________________</w:t>
      </w:r>
    </w:p>
    <w:p>
      <w:pPr>
        <w:spacing w:after="0" w:line="32" w:lineRule="exact"/>
        <w:rPr>
          <w:sz w:val="20"/>
          <w:szCs w:val="20"/>
          <w:color w:val="auto"/>
        </w:rPr>
      </w:pPr>
    </w:p>
    <w:p>
      <w:pPr>
        <w:ind w:left="3760"/>
        <w:spacing w:after="0"/>
        <w:tabs>
          <w:tab w:leader="none" w:pos="4360" w:val="left"/>
        </w:tabs>
        <w:rPr>
          <w:sz w:val="20"/>
          <w:szCs w:val="20"/>
          <w:color w:val="auto"/>
        </w:rPr>
      </w:pPr>
      <w:r>
        <w:rPr>
          <w:rFonts w:ascii="Times New Roman" w:cs="Times New Roman" w:eastAsia="Times New Roman" w:hAnsi="Times New Roman"/>
          <w:sz w:val="17"/>
          <w:szCs w:val="17"/>
          <w:color w:val="auto"/>
        </w:rPr>
        <w:t>Name:</w:t>
        <w:tab/>
        <w:t>Michael Monahan</w:t>
      </w:r>
    </w:p>
    <w:p>
      <w:pPr>
        <w:spacing w:after="0" w:line="14" w:lineRule="exact"/>
        <w:rPr>
          <w:sz w:val="20"/>
          <w:szCs w:val="20"/>
          <w:color w:val="auto"/>
        </w:rPr>
      </w:pPr>
    </w:p>
    <w:p>
      <w:pPr>
        <w:ind w:left="3760"/>
        <w:spacing w:after="0"/>
        <w:tabs>
          <w:tab w:leader="none" w:pos="4360" w:val="left"/>
        </w:tabs>
        <w:rPr>
          <w:sz w:val="20"/>
          <w:szCs w:val="20"/>
          <w:color w:val="auto"/>
        </w:rPr>
      </w:pPr>
      <w:r>
        <w:rPr>
          <w:rFonts w:ascii="Times New Roman" w:cs="Times New Roman" w:eastAsia="Times New Roman" w:hAnsi="Times New Roman"/>
          <w:sz w:val="17"/>
          <w:szCs w:val="17"/>
          <w:color w:val="auto"/>
        </w:rPr>
        <w:t>Title:</w:t>
        <w:tab/>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20320</wp:posOffset>
            </wp:positionV>
            <wp:extent cx="7136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Guarantors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Edge Systems Holdings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Edge Systems Intermediate,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Esthetic Medical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HydraFacial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LCP Edge Intermediate,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HydraFacial Company Mexico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tc>
        <w:tc>
          <w:tcPr>
            <w:tcW w:w="0" w:type="dxa"/>
            <w:vAlign w:val="bottom"/>
          </w:tcPr>
          <w:p>
            <w:pPr>
              <w:spacing w:after="0"/>
              <w:rPr>
                <w:sz w:val="1"/>
                <w:szCs w:val="1"/>
                <w:color w:val="auto"/>
              </w:rPr>
            </w:pPr>
          </w:p>
        </w:tc>
      </w:tr>
      <w:tr>
        <w:trPr>
          <w:trHeight w:val="399"/>
        </w:trPr>
        <w:tc>
          <w:tcPr>
            <w:tcW w:w="3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Exchanging Investor Information</w:t>
            </w:r>
          </w:p>
        </w:tc>
        <w:tc>
          <w:tcPr>
            <w:tcW w:w="19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60" w:type="dxa"/>
            <w:vAlign w:val="bottom"/>
            <w:gridSpan w:val="6"/>
          </w:tcPr>
          <w:p>
            <w:pPr>
              <w:jc w:val="center"/>
              <w:ind w:left="2313"/>
              <w:spacing w:after="0"/>
              <w:rPr>
                <w:sz w:val="20"/>
                <w:szCs w:val="20"/>
                <w:color w:val="auto"/>
              </w:rPr>
            </w:pPr>
            <w:r>
              <w:rPr>
                <w:rFonts w:ascii="Times New Roman" w:cs="Times New Roman" w:eastAsia="Times New Roman" w:hAnsi="Times New Roman"/>
                <w:sz w:val="17"/>
                <w:szCs w:val="17"/>
                <w:b w:val="1"/>
                <w:bCs w:val="1"/>
                <w:color w:val="auto"/>
              </w:rPr>
              <w:t>(Complete the Following Form for Each Exchanging Investor)</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Legal Name of Exchanging Investor:</w:t>
            </w:r>
          </w:p>
        </w:tc>
        <w:tc>
          <w:tcPr>
            <w:tcW w:w="5480" w:type="dxa"/>
            <w:vAlign w:val="bottom"/>
            <w:tcBorders>
              <w:bottom w:val="single" w:sz="8" w:color="auto"/>
            </w:tcBorders>
            <w:gridSpan w:val="5"/>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8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Aggregate principal amount of Existing Notes to be exchanged (</w:t>
            </w:r>
            <w:r>
              <w:rPr>
                <w:rFonts w:ascii="Times New Roman" w:cs="Times New Roman" w:eastAsia="Times New Roman" w:hAnsi="Times New Roman"/>
                <w:sz w:val="17"/>
                <w:szCs w:val="17"/>
                <w:b w:val="1"/>
                <w:bCs w:val="1"/>
                <w:color w:val="auto"/>
              </w:rPr>
              <w:t>must be an integral multiple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1,000</w:t>
            </w: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Exchanging Investor’s Address:</w:t>
            </w:r>
          </w:p>
        </w:tc>
        <w:tc>
          <w:tcPr>
            <w:tcW w:w="2820" w:type="dxa"/>
            <w:vAlign w:val="bottom"/>
            <w:tcBorders>
              <w:top w:val="single" w:sz="8" w:color="auto"/>
              <w:bottom w:val="single" w:sz="8" w:color="auto"/>
            </w:tcBorders>
            <w:gridSpan w:val="2"/>
            <w:vMerge w:val="restart"/>
          </w:tcPr>
          <w:p>
            <w:pPr>
              <w:spacing w:after="0" w:line="20" w:lineRule="exact"/>
              <w:rPr>
                <w:sz w:val="1"/>
                <w:szCs w:val="1"/>
                <w:color w:val="auto"/>
              </w:rPr>
            </w:pPr>
          </w:p>
        </w:tc>
        <w:tc>
          <w:tcPr>
            <w:tcW w:w="154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00" w:type="dxa"/>
            <w:vAlign w:val="bottom"/>
            <w:gridSpan w:val="3"/>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380" w:type="dxa"/>
            <w:vAlign w:val="bottom"/>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3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Telephone:</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r>
      <w:tr>
        <w:trPr>
          <w:trHeight w:val="41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Country (and, if applicable, State) of Residence: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41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Taxpayer Identification Number:</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373"/>
        </w:trPr>
        <w:tc>
          <w:tcPr>
            <w:tcW w:w="84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Account for Existing Notes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 for New Notes</w:t>
            </w:r>
          </w:p>
        </w:tc>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Wire Instructions for Cash Consideration</w:t>
            </w:r>
          </w:p>
        </w:tc>
      </w:tr>
      <w:tr>
        <w:trPr>
          <w:trHeight w:val="20"/>
        </w:trPr>
        <w:tc>
          <w:tcPr>
            <w:tcW w:w="8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38"/>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DTC Participant Number:</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DTC Participant Number:</w:t>
            </w: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Bank Routing #:</w:t>
            </w:r>
          </w:p>
        </w:tc>
      </w:tr>
      <w:tr>
        <w:trPr>
          <w:trHeight w:val="210"/>
        </w:trPr>
        <w:tc>
          <w:tcPr>
            <w:tcW w:w="8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411"/>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DTC Participant Name: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DTC Participant Name:</w:t>
            </w: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SWIFT Code:</w:t>
            </w:r>
          </w:p>
        </w:tc>
      </w:tr>
      <w:tr>
        <w:trPr>
          <w:trHeight w:val="210"/>
        </w:trPr>
        <w:tc>
          <w:tcPr>
            <w:tcW w:w="8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411"/>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DTC Participant Phone Number:</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DTC Participant Phone Number:</w:t>
            </w: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Bank Address:</w:t>
            </w:r>
          </w:p>
        </w:tc>
      </w:tr>
      <w:tr>
        <w:trPr>
          <w:trHeight w:val="210"/>
        </w:trPr>
        <w:tc>
          <w:tcPr>
            <w:tcW w:w="8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411"/>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DTC Participant Contact Email:</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DTC Participant Contact Email:</w:t>
            </w: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 Number:</w:t>
            </w:r>
          </w:p>
        </w:tc>
      </w:tr>
      <w:tr>
        <w:trPr>
          <w:trHeight w:val="210"/>
        </w:trPr>
        <w:tc>
          <w:tcPr>
            <w:tcW w:w="8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411"/>
        </w:trPr>
        <w:tc>
          <w:tcPr>
            <w:tcW w:w="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Account # at DTC Participant:</w:t>
            </w:r>
          </w:p>
        </w:tc>
        <w:tc>
          <w:tcPr>
            <w:tcW w:w="3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 Name:</w:t>
            </w:r>
          </w:p>
        </w:tc>
      </w:tr>
      <w:tr>
        <w:trPr>
          <w:trHeight w:val="210"/>
        </w:trPr>
        <w:tc>
          <w:tcPr>
            <w:tcW w:w="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Exchange Procedures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NOTICE TO INVESTOR</w:t>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Attached are Investor Exchange Procedures for the settlement of the exchange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of 1.25% Convertible Senior Notes due 2026, CUSIP 88331L AA6 (the “</w:t>
      </w:r>
      <w:r>
        <w:rPr>
          <w:rFonts w:ascii="Times New Roman" w:cs="Times New Roman" w:eastAsia="Times New Roman" w:hAnsi="Times New Roman"/>
          <w:sz w:val="17"/>
          <w:szCs w:val="17"/>
          <w:b w:val="1"/>
          <w:bCs w:val="1"/>
          <w:color w:val="auto"/>
        </w:rPr>
        <w:t>Existing Notes</w:t>
      </w:r>
      <w:r>
        <w:rPr>
          <w:rFonts w:ascii="Times New Roman" w:cs="Times New Roman" w:eastAsia="Times New Roman" w:hAnsi="Times New Roman"/>
          <w:sz w:val="17"/>
          <w:szCs w:val="17"/>
          <w:color w:val="auto"/>
        </w:rPr>
        <w:t>”) of The Beauty Health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(1) cash (the “</w:t>
      </w:r>
      <w:r>
        <w:rPr>
          <w:rFonts w:ascii="Times New Roman" w:cs="Times New Roman" w:eastAsia="Times New Roman" w:hAnsi="Times New Roman"/>
          <w:sz w:val="17"/>
          <w:szCs w:val="17"/>
          <w:b w:val="1"/>
          <w:bCs w:val="1"/>
          <w:color w:val="auto"/>
        </w:rPr>
        <w:t>Cash Consideration</w:t>
      </w:r>
      <w:r>
        <w:rPr>
          <w:rFonts w:ascii="Times New Roman" w:cs="Times New Roman" w:eastAsia="Times New Roman" w:hAnsi="Times New Roman"/>
          <w:sz w:val="17"/>
          <w:szCs w:val="17"/>
          <w:color w:val="auto"/>
        </w:rPr>
        <w:t>”); and (2) the Company’s 7.95% Convertible Senior Secured Notes due 2028, CUSIP 88331L AD0 (the “</w:t>
      </w:r>
      <w:r>
        <w:rPr>
          <w:rFonts w:ascii="Times New Roman" w:cs="Times New Roman" w:eastAsia="Times New Roman" w:hAnsi="Times New Roman"/>
          <w:sz w:val="17"/>
          <w:szCs w:val="17"/>
          <w:b w:val="1"/>
          <w:bCs w:val="1"/>
          <w:color w:val="auto"/>
        </w:rPr>
        <w:t>New Notes</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color w:val="auto"/>
        </w:rPr>
        <w:t>Exchange Consideration</w:t>
      </w:r>
      <w:r>
        <w:rPr>
          <w:rFonts w:ascii="Times New Roman" w:cs="Times New Roman" w:eastAsia="Times New Roman" w:hAnsi="Times New Roman"/>
          <w:sz w:val="17"/>
          <w:szCs w:val="17"/>
          <w:color w:val="auto"/>
        </w:rPr>
        <w:t>”), pursuant to the Exchange Agreement, dated as of May 21, 2025, between you and the Company, which is expected to occur on May 27, 2025. To ensure timely settlement, please follow the instructions for the Exchange as set forth on the following page.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failure to comply with the attached instructions may delay your receipt of the Exchange Consideration.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please contact Michael Voris of Goldman Sachs &amp; Co. LLC at (212) 902-4895.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auto"/>
        </w:rPr>
        <w:t>Delivery of the Existing Notes</w:t>
      </w:r>
    </w:p>
    <w:p>
      <w:pPr>
        <w:spacing w:after="0" w:line="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You must direct the eligible DTC participant through which you hold a beneficial interest in the Existing Notes to post </w:t>
      </w:r>
      <w:r>
        <w:rPr>
          <w:rFonts w:ascii="Times New Roman" w:cs="Times New Roman" w:eastAsia="Times New Roman" w:hAnsi="Times New Roman"/>
          <w:sz w:val="17"/>
          <w:szCs w:val="17"/>
          <w:b w:val="1"/>
          <w:bCs w:val="1"/>
          <w:color w:val="auto"/>
        </w:rPr>
        <w:t>on May 27, 2025, no later than 9:30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 New York City time</w:t>
      </w:r>
      <w:r>
        <w:rPr>
          <w:rFonts w:ascii="Times New Roman" w:cs="Times New Roman" w:eastAsia="Times New Roman" w:hAnsi="Times New Roman"/>
          <w:sz w:val="17"/>
          <w:szCs w:val="17"/>
          <w:color w:val="auto"/>
        </w:rPr>
        <w:t>, withdrawal instructions through DTC via DWAC for the aggregate principal amount of Existing Notes (CUSIP #88331L AA6)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forth in Exhibit A of the Exchange Agreement to be exchanged. </w:t>
      </w:r>
      <w:r>
        <w:rPr>
          <w:rFonts w:ascii="Times New Roman" w:cs="Times New Roman" w:eastAsia="Times New Roman" w:hAnsi="Times New Roman"/>
          <w:sz w:val="17"/>
          <w:szCs w:val="17"/>
          <w:b w:val="1"/>
          <w:bCs w:val="1"/>
          <w:color w:val="auto"/>
        </w:rPr>
        <w:t>It is important that this instruction be submitted and the DWAC posted on May 27,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if it is posted before May 27, 2025, then it will expire unaccepted and will need to be re-posted on May 27,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To Receive the New Notes</w:t>
      </w:r>
    </w:p>
    <w:p>
      <w:pPr>
        <w:spacing w:after="0" w:line="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You must direct your eligible DTC participant through which you wish to hold a beneficial interest in the New Notes to post </w:t>
      </w:r>
      <w:r>
        <w:rPr>
          <w:rFonts w:ascii="Times New Roman" w:cs="Times New Roman" w:eastAsia="Times New Roman" w:hAnsi="Times New Roman"/>
          <w:sz w:val="17"/>
          <w:szCs w:val="17"/>
          <w:b w:val="1"/>
          <w:bCs w:val="1"/>
          <w:color w:val="auto"/>
        </w:rPr>
        <w:t>on May 27, 2025, no later than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9:30 a.m., New York City time</w:t>
      </w:r>
      <w:r>
        <w:rPr>
          <w:rFonts w:ascii="Times New Roman" w:cs="Times New Roman" w:eastAsia="Times New Roman" w:hAnsi="Times New Roman"/>
          <w:sz w:val="17"/>
          <w:szCs w:val="17"/>
          <w:color w:val="auto"/>
        </w:rPr>
        <w:t>, a deposit instruction through DTC via DWAC for the aggregate principal amount of New Notes (CUSIP #88331L AD0)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which you are entitled pursuant to the Exchange. </w:t>
      </w:r>
      <w:r>
        <w:rPr>
          <w:rFonts w:ascii="Times New Roman" w:cs="Times New Roman" w:eastAsia="Times New Roman" w:hAnsi="Times New Roman"/>
          <w:sz w:val="17"/>
          <w:szCs w:val="17"/>
          <w:b w:val="1"/>
          <w:bCs w:val="1"/>
          <w:color w:val="auto"/>
        </w:rPr>
        <w:t>It is important that this instruction be submitted and the DWAC posted on May 27, 2025; if it is posted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before May 27, 2025, then it will expire unaccepted and will need to be re-posted on May 27,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Closing</w:t>
      </w:r>
    </w:p>
    <w:p>
      <w:pPr>
        <w:spacing w:after="0" w:line="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May 27, 2025, after the Company receives your Existing Notes and your delivery instructions as set forth above, and subject to the satisfaction of the conditions to Closing as set forth in your Exchange Agreement, the Company will pay the Cash Consideration and deliver the New Notes in accordance with the delivery instructions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Form of New Notes Indenture</w:t>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20320</wp:posOffset>
            </wp:positionV>
            <wp:extent cx="7136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120"/>
          </w:cols>
          <w:pgMar w:left="1440" w:top="773"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1169035</wp:posOffset>
            </wp:positionV>
            <wp:extent cx="713676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4127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1226820</wp:posOffset>
            </wp:positionV>
            <wp:extent cx="713676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BEAUTY HEALTH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as Trustee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196215</wp:posOffset>
            </wp:positionV>
            <wp:extent cx="1786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[FORM OF] INDENTURE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Dated as of [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495300</wp:posOffset>
            </wp:positionV>
            <wp:extent cx="1786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7.95% Convertible Senior Secured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861060</wp:posOffset>
            </wp:positionV>
            <wp:extent cx="713676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894080</wp:posOffset>
            </wp:positionV>
            <wp:extent cx="713676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4127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1666875</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9"/>
        </w:trPr>
        <w:tc>
          <w:tcPr>
            <w:tcW w:w="1300" w:type="dxa"/>
            <w:vAlign w:val="bottom"/>
          </w:tcPr>
          <w:p>
            <w:pPr>
              <w:spacing w:after="0"/>
              <w:rPr>
                <w:sz w:val="19"/>
                <w:szCs w:val="19"/>
                <w:color w:val="auto"/>
              </w:rPr>
            </w:pPr>
          </w:p>
        </w:tc>
        <w:tc>
          <w:tcPr>
            <w:tcW w:w="9580" w:type="dxa"/>
            <w:vAlign w:val="bottom"/>
          </w:tcPr>
          <w:p>
            <w:pPr>
              <w:ind w:left="34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0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 Definitions; Rules of Construction</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96"/>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1.01.</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1.02.</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1.03.</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Interpretation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1.04.  Accounting Terms and Principles; Basket Compliance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7"/>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1.05.  Uniform Commercial Code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314"/>
        </w:trPr>
        <w:tc>
          <w:tcPr>
            <w:tcW w:w="10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2. The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96"/>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2.01.  Form, Dating and Denominations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2.02.  Execution, Authentication and Delivery</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2.03.  Initial Notes and Additional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2.04.  Method of Payment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2.05.  Accrual of Interest; Defaulted Amounts; When Payment Date is Not a Business Day</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2.06.  Registrar, Paying Agent and Conversion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2.07.  Paying Agent and Conversion Agent to Hold Property in Trust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2.08.</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Holder Lists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2.09.</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Legends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2.10.  Transfers and Exchanges; Certain Transfer Restrictions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2.11.  Exchange and Cancellation of Notes to Be Converted or to Be Repurchased Pursuant to a Repurchase Upon Fundamental</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9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or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2.12.</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Replacement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2.13.  Registered Holders; Certain Rights with Respect to Global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2.14.</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Cancellation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2.15.  Notes Held by the Company or its Affiliates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2.16.</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Temporary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2.17.</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Outstanding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9"/>
        </w:trPr>
        <w:tc>
          <w:tcPr>
            <w:tcW w:w="10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2.18.  Repurchases by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7"/>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2.19.</w:t>
            </w:r>
          </w:p>
        </w:tc>
        <w:tc>
          <w:tcPr>
            <w:tcW w:w="9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CUSIP and ISIN Numbers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7"/>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3. Covenants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96"/>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3.01.  Payment on Notes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3.02.  Exchange Act Reports and Financial Statements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3.03.  Rule 144A 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3.04.</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Additional Interest</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3.05.  Compliance and Default Certificates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3.06.  Stay, Extension and Usury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3.07.  Acquisition of Notes by the Company and its Affiliates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3.08.</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Indebtedness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3.09.</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Liens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3.10.</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[Reserved]</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3.11.</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Investments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3.12.</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Asset Sales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3.13.  Sale and Leaseback Transactions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3.14.</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Swap Agreements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3.15.  Restricted Payments; Certain Payments of Indebtedness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3.16.  Transactions with Affiliates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3.17.</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Restrictive Agreements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3.18.  Amendment of Material Documents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3.19.  Cash Management Systems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3.20.</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Material Assets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3.21.</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Mortgages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3.22.</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Further Assurances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3.23.</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[Reserved].</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3.24.  No Liability Management Transaction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3.25.</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Joint Venture.</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3.26.  Existence; Conduct of Business.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3.27.  Compliance with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3.28.</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Authorizations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3.29.  Maintenance of Property</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3.30.</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Insurance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3.31.  Payment of Taxes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3.32.</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DTC Matters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3.33.  Accounting and Fiscal Year</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9"/>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3.34.  Anti-Corruption Laws; Sanctions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7"/>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3.35.</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Material Non-Public 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7"/>
        </w:trPr>
        <w:tc>
          <w:tcPr>
            <w:tcW w:w="10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4. Repurchase and Redemption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96"/>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4.01.  No Sinking Fund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4.02.  Right of Holders to Require the Company to Repurchase Notes Upon a Fundamental Change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7"/>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4.03.  Right of the Company to Redeem the Notes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314"/>
        </w:trPr>
        <w:tc>
          <w:tcPr>
            <w:tcW w:w="10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5. Conversion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96"/>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5.01.  Right to Convert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5.02.</w:t>
            </w:r>
          </w:p>
        </w:tc>
        <w:tc>
          <w:tcPr>
            <w:tcW w:w="8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Conversion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5.03.  Settlement Upon Conversion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5.04.  Reserve and Status of Common Stock Issued Upon Conversion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5.05.  Adjustments to the Conversion Rate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5.06.</w:t>
            </w:r>
          </w:p>
        </w:tc>
        <w:tc>
          <w:tcPr>
            <w:tcW w:w="8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Voluntary Adjustments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5.07.  Adjustments to the Conversion Rate in Connection with a Make-Whole Fundamental Change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5.08.  Exchange in Lieu of Conversion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5.09.  Effect of Common Stock Change Event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7"/>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5.10.  Deerfield Holders’ Conversion Limitations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314"/>
        </w:trPr>
        <w:tc>
          <w:tcPr>
            <w:tcW w:w="10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6. Successors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96"/>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6.01.  When the Company May Merge, Etc.</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7"/>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6.02.  Successor Entity Substituted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314"/>
        </w:trPr>
        <w:tc>
          <w:tcPr>
            <w:tcW w:w="10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7. Defaults and Remedies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96"/>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7.01.  Events of Default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7.02.</w:t>
            </w:r>
          </w:p>
        </w:tc>
        <w:tc>
          <w:tcPr>
            <w:tcW w:w="8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Acceleration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7.03.</w:t>
            </w:r>
          </w:p>
        </w:tc>
        <w:tc>
          <w:tcPr>
            <w:tcW w:w="8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[Reserved.]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7.04.</w:t>
            </w:r>
          </w:p>
        </w:tc>
        <w:tc>
          <w:tcPr>
            <w:tcW w:w="8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Remedies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7.05.  Waiver of Past Defaults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7.06.  Control by Required Holders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7.07.  Limitation on Suits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7.08.  Absolute Right of Holders to Institute Suit for the Enforcement of the Right to Receive Payment and Conversion</w:t>
            </w:r>
          </w:p>
        </w:tc>
        <w:tc>
          <w:tcPr>
            <w:tcW w:w="110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Consideration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7.09.  Collection Suit by Trustee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9"/>
        </w:trPr>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7.10.  Trustee May File Proofs of Claim</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9"/>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7.11.</w:t>
            </w:r>
          </w:p>
        </w:tc>
        <w:tc>
          <w:tcPr>
            <w:tcW w:w="8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Priorities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7"/>
        </w:trPr>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7.12.</w:t>
            </w:r>
          </w:p>
        </w:tc>
        <w:tc>
          <w:tcPr>
            <w:tcW w:w="8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Undertaking for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7"/>
        </w:trPr>
        <w:tc>
          <w:tcPr>
            <w:tcW w:w="9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8. Amendments, Supplements and Waivers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96"/>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8.01.  Without the Consent of Holders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8.02.  With the Consent of Holders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8.03.  Notice of Amendments, Supplements and Waivers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8.04.  Revocation, Effect and Solicitation of Consents; Special Record Dates;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8.05.  Notations and Exchanges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7"/>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8.06.  Trustee And Collateral Agent to Execute Supplemental Indentures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314"/>
        </w:trPr>
        <w:tc>
          <w:tcPr>
            <w:tcW w:w="9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9. Satisfaction and Discharge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96"/>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9.01.  Termination of Company’s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9.02.  Repayment to Company</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7"/>
        </w:trPr>
        <w:tc>
          <w:tcPr>
            <w:tcW w:w="1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9.03.</w:t>
            </w:r>
          </w:p>
        </w:tc>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Reinstatement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314"/>
        </w:trPr>
        <w:tc>
          <w:tcPr>
            <w:tcW w:w="9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10. Trustee and Collateral Agent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96"/>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10.01.  Duties of the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10.02.  Rights of the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10.03.  Individual Rights of the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9"/>
        </w:trPr>
        <w:tc>
          <w:tcPr>
            <w:tcW w:w="1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10.04.</w:t>
            </w:r>
          </w:p>
        </w:tc>
        <w:tc>
          <w:tcPr>
            <w:tcW w:w="7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Trustee’s Disclaimer</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10.05.  Notice of Defaults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10.06.  Compensation and Indemnity</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10.07.  Replacement of the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10.08.  Successor Trustee by Merger,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9"/>
        </w:trPr>
        <w:tc>
          <w:tcPr>
            <w:tcW w:w="1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10.09.</w:t>
            </w:r>
          </w:p>
        </w:tc>
        <w:tc>
          <w:tcPr>
            <w:tcW w:w="7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Eligibility; Disqualification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10.10.  Collateral Agent; Collateral Documents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10.11.  Replacement of Collateral Agent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10.12.  Suits to Protect the Collateral</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10.13.  Collateral Agent; Authorization of Action to be Taken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10.14.  Authorization of Receipt of Funds by the Trustee Under the Collateral Documents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7"/>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10.15.  Administrative Determination Holder(s)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314"/>
        </w:trPr>
        <w:tc>
          <w:tcPr>
            <w:tcW w:w="9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11. 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96"/>
        </w:trPr>
        <w:tc>
          <w:tcPr>
            <w:tcW w:w="1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11.01.</w:t>
            </w:r>
          </w:p>
        </w:tc>
        <w:tc>
          <w:tcPr>
            <w:tcW w:w="7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11.02.  Limitation on Guarantor Liability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11.03.  Guarantors May Consolidate, etc., on Certain Terms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11.04.  Stay of Acceleration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09"/>
        </w:trPr>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Section 11.05.  Execution and Delivery of 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7"/>
        </w:trPr>
        <w:tc>
          <w:tcPr>
            <w:tcW w:w="1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Section 11.06.</w:t>
            </w:r>
          </w:p>
        </w:tc>
        <w:tc>
          <w:tcPr>
            <w:tcW w:w="7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Releases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7"/>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12. Miscellaneous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96"/>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12.01.</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12.02.  Delivery of Officer’s Certificate and Opinion of Counsel as to Conditions Precedent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12.03.  Statements Required in Officer’s Certificate and Opinion of Counsel</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12.04.  Rules by the Trustee, The Collateral Agent, the Registrar, the Paying Agent and the Conversion Agent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12.05.  No Personal Liability of Directors, Officers, Employees and Stockholders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12.06.  Governing Law; Waiver of Jury Trial</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12.07.  Submission to Jurisdiction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12.08.  No Adverse Interpretation of Other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12.09.</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Successors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12.10.</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Force Majeure</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12.11.  U.S.A. PATRIOT Act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12.12.</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Calculations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12.13.</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Severability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9"/>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12.14.</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Counterparts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12.15.  Table of Contents, Headings, Etc.</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7"/>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12.16.</w:t>
            </w:r>
          </w:p>
        </w:tc>
        <w:tc>
          <w:tcPr>
            <w:tcW w:w="8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Withholding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14"/>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13. Security and Collateral</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96"/>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13.01.</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Collateral Documents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7"/>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13.02.  Release of Collateral</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314"/>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14. LEGAL DEFEASANCE AND 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96"/>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14.01.  Option to Effect Legal Defeasance or 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14.02.  Legal Defeasance and Discharge.</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9"/>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14.03.</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14.04.  Conditions to Legal or 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14.05.  Deposited Money and Government Securities to be Held in Trust; Other Miscellaneous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09"/>
        </w:trPr>
        <w:tc>
          <w:tcPr>
            <w:tcW w:w="97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Section 14.06.  Repayment to Company.</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7"/>
        </w:trPr>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Section 14.07.</w:t>
            </w:r>
          </w:p>
        </w:tc>
        <w:tc>
          <w:tcPr>
            <w:tcW w:w="8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Reinstatement.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380"/>
        </w:trPr>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Schedules</w:t>
            </w:r>
          </w:p>
        </w:tc>
        <w:tc>
          <w:tcPr>
            <w:tcW w:w="6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Schedule 3.08(B) (Existing Indebtedness)</w:t>
            </w:r>
          </w:p>
        </w:tc>
        <w:tc>
          <w:tcPr>
            <w:tcW w:w="1500" w:type="dxa"/>
            <w:vAlign w:val="bottom"/>
          </w:tcPr>
          <w:p>
            <w:pPr>
              <w:spacing w:after="0"/>
              <w:rPr>
                <w:sz w:val="18"/>
                <w:szCs w:val="18"/>
                <w:color w:val="auto"/>
              </w:rPr>
            </w:pPr>
          </w:p>
        </w:tc>
      </w:tr>
      <w:tr>
        <w:trPr>
          <w:trHeight w:val="209"/>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Schedule 3.09(C) (Existing Liens)</w:t>
            </w:r>
          </w:p>
        </w:tc>
        <w:tc>
          <w:tcPr>
            <w:tcW w:w="1500" w:type="dxa"/>
            <w:vAlign w:val="bottom"/>
          </w:tcPr>
          <w:p>
            <w:pPr>
              <w:spacing w:after="0"/>
              <w:rPr>
                <w:sz w:val="18"/>
                <w:szCs w:val="18"/>
                <w:color w:val="auto"/>
              </w:rPr>
            </w:pPr>
          </w:p>
        </w:tc>
      </w:tr>
      <w:tr>
        <w:trPr>
          <w:trHeight w:val="209"/>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Schedule 3.11(B) (Existing Investments)</w:t>
            </w:r>
          </w:p>
        </w:tc>
        <w:tc>
          <w:tcPr>
            <w:tcW w:w="1500" w:type="dxa"/>
            <w:vAlign w:val="bottom"/>
          </w:tcPr>
          <w:p>
            <w:pPr>
              <w:spacing w:after="0"/>
              <w:rPr>
                <w:sz w:val="18"/>
                <w:szCs w:val="18"/>
                <w:color w:val="auto"/>
              </w:rPr>
            </w:pPr>
          </w:p>
        </w:tc>
      </w:tr>
      <w:tr>
        <w:trPr>
          <w:trHeight w:val="209"/>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Schedule 3.17 (Existing Restrictive Agreements)</w:t>
            </w:r>
          </w:p>
        </w:tc>
        <w:tc>
          <w:tcPr>
            <w:tcW w:w="1500" w:type="dxa"/>
            <w:vAlign w:val="bottom"/>
          </w:tcPr>
          <w:p>
            <w:pPr>
              <w:spacing w:after="0"/>
              <w:rPr>
                <w:sz w:val="18"/>
                <w:szCs w:val="18"/>
                <w:color w:val="auto"/>
              </w:rPr>
            </w:pPr>
          </w:p>
        </w:tc>
      </w:tr>
      <w:tr>
        <w:trPr>
          <w:trHeight w:val="227"/>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Schedule 3.36 Post Closing Matters</w:t>
            </w:r>
          </w:p>
        </w:tc>
        <w:tc>
          <w:tcPr>
            <w:tcW w:w="1500" w:type="dxa"/>
            <w:vAlign w:val="bottom"/>
          </w:tcPr>
          <w:p>
            <w:pPr>
              <w:spacing w:after="0"/>
              <w:rPr>
                <w:sz w:val="19"/>
                <w:szCs w:val="19"/>
                <w:color w:val="auto"/>
              </w:rPr>
            </w:pPr>
          </w:p>
        </w:tc>
      </w:tr>
      <w:tr>
        <w:trPr>
          <w:trHeight w:val="380"/>
        </w:trPr>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Exhibits</w:t>
            </w:r>
          </w:p>
        </w:tc>
        <w:tc>
          <w:tcPr>
            <w:tcW w:w="8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91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A: Form of Note</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09"/>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B-1: Form of Restricted Note Legend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B1-1</w:t>
            </w:r>
          </w:p>
        </w:tc>
      </w:tr>
      <w:tr>
        <w:trPr>
          <w:trHeight w:val="209"/>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B-2: Form of Global Note Legend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B2-1</w:t>
            </w:r>
          </w:p>
        </w:tc>
      </w:tr>
      <w:tr>
        <w:trPr>
          <w:trHeight w:val="209"/>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B-3: Form of Non-Affiliate Legend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B3-1</w:t>
            </w:r>
          </w:p>
        </w:tc>
      </w:tr>
      <w:tr>
        <w:trPr>
          <w:trHeight w:val="209"/>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C: Form of Supplemental Indenture to be delivered by Subsequent Guarantors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C1-1</w:t>
            </w:r>
          </w:p>
        </w:tc>
      </w:tr>
      <w:tr>
        <w:trPr>
          <w:trHeight w:val="227"/>
        </w:trPr>
        <w:tc>
          <w:tcPr>
            <w:tcW w:w="9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Exhibit D: Form of Intercompany Subordination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D1-1</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40" w:name="page41"/>
    <w:bookmarkEnd w:id="40"/>
    <w:p>
      <w:pPr>
        <w:jc w:val="both"/>
        <w:ind w:firstLine="628"/>
        <w:spacing w:after="0" w:line="298" w:lineRule="auto"/>
        <w:rPr>
          <w:sz w:val="20"/>
          <w:szCs w:val="20"/>
          <w:color w:val="auto"/>
        </w:rPr>
      </w:pP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dated as of [ ˜ ], 2025, between The Beauty Health Company, a Delaware corporation, as issuer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U.S. Bank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National Association,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and as collateral agent (the “</w:t>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Each party to this Indenture (as defined below) agrees as follows for the benefit of the other party and for the equal and ratable benefit of the Holders (as defined below) of the Company’s 7.95% Convertible Senior Secured Notes due 2028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 RULES OF CONSTRUCTION</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1.01.</w:t>
      </w:r>
      <w:r>
        <w:rPr>
          <w:sz w:val="20"/>
          <w:szCs w:val="20"/>
          <w:color w:val="auto"/>
        </w:rPr>
        <w:tab/>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efinitions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17"/>
          <w:szCs w:val="17"/>
          <w:color w:val="auto"/>
        </w:rPr>
        <w:t>” means any transaction, or any series of related transactions, consummated on or after the Issue Date, by which any Person (a) purchases, in-licenses or otherwise acquires any going concern business, a line of business or division or product, or all or substantially all of the assets of any other Person (other than an existing Subsidiary), whether through purchase of assets, in-licensing,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Interest</w:t>
      </w:r>
      <w:r>
        <w:rPr>
          <w:rFonts w:ascii="Times New Roman" w:cs="Times New Roman" w:eastAsia="Times New Roman" w:hAnsi="Times New Roman"/>
          <w:sz w:val="17"/>
          <w:szCs w:val="17"/>
          <w:color w:val="auto"/>
        </w:rPr>
        <w:t xml:space="preserve">” means any interest that accrues on any Note pursuant to </w:t>
      </w:r>
      <w:r>
        <w:rPr>
          <w:rFonts w:ascii="Times New Roman" w:cs="Times New Roman" w:eastAsia="Times New Roman" w:hAnsi="Times New Roman"/>
          <w:sz w:val="17"/>
          <w:szCs w:val="17"/>
          <w:b w:val="1"/>
          <w:bCs w:val="1"/>
          <w:color w:val="auto"/>
        </w:rPr>
        <w:t>Section 3.04</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Notes</w:t>
      </w:r>
      <w:r>
        <w:rPr>
          <w:rFonts w:ascii="Times New Roman" w:cs="Times New Roman" w:eastAsia="Times New Roman" w:hAnsi="Times New Roman"/>
          <w:sz w:val="17"/>
          <w:szCs w:val="17"/>
          <w:color w:val="auto"/>
        </w:rPr>
        <w:t xml:space="preserve">” means any Notes issued from time to time after the Issue Date pursuant to </w:t>
      </w:r>
      <w:r>
        <w:rPr>
          <w:rFonts w:ascii="Times New Roman" w:cs="Times New Roman" w:eastAsia="Times New Roman" w:hAnsi="Times New Roman"/>
          <w:sz w:val="17"/>
          <w:szCs w:val="17"/>
          <w:b w:val="1"/>
          <w:bCs w:val="1"/>
          <w:color w:val="auto"/>
        </w:rPr>
        <w:t>Section 2.03(B)</w:t>
      </w:r>
      <w:r>
        <w:rPr>
          <w:rFonts w:ascii="Times New Roman" w:cs="Times New Roman" w:eastAsia="Times New Roman" w:hAnsi="Times New Roman"/>
          <w:sz w:val="17"/>
          <w:szCs w:val="17"/>
          <w:color w:val="auto"/>
        </w:rPr>
        <w:t xml:space="preserve"> of this Indenture.</w:t>
      </w:r>
    </w:p>
    <w:p>
      <w:pPr>
        <w:spacing w:after="0" w:line="223" w:lineRule="exact"/>
        <w:rPr>
          <w:sz w:val="20"/>
          <w:szCs w:val="20"/>
          <w:color w:val="auto"/>
        </w:rPr>
      </w:pPr>
    </w:p>
    <w:p>
      <w:pPr>
        <w:jc w:val="both"/>
        <w:ind w:firstLine="628"/>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Administrative Determination Holder(s)</w:t>
      </w:r>
      <w:r>
        <w:rPr>
          <w:rFonts w:ascii="Times New Roman" w:cs="Times New Roman" w:eastAsia="Times New Roman" w:hAnsi="Times New Roman"/>
          <w:sz w:val="17"/>
          <w:szCs w:val="17"/>
          <w:color w:val="auto"/>
        </w:rPr>
        <w:t>” means (a) initially, the Deerfield Holders, (b) on or after the date on which the Deerfield Holders cease to beneficially own at least 35.0% of the aggregate principal amount of the Notes then outstanding (without giving effect to any Additional Notes in the denominator), any Person designated by the Required Holders to act as the Administrative Determination Holder(s) (or any successor thereto), and (c) to the extent there is no such Person designated to act as the Administrative Determination Holder(s) pursuant to clause (b), the Required Holders (provided, that any determination by the Required Holders when acting as Administrative Determination Holder(s) shall only be effective with respect to the Trustee or the Collateral Agent when delivered in accordance with the applicable procedures of the Depositary). The Company shall deliver an Officer’s Certificate to the Trustee and the Collateral Agent promptly upon becoming aware that another Person has become the Administrative Determination Holder(s) and the identity of such Person (together with such certificates as the Trustee may reasonably request in connection therewith), and the Trustee may conclusively presume the Deerfield Holders remain the Administrative Determination Holder(s) until it receives such certificate. The Trustee and the Collateral Agent shall have no obligation to determine the beneficial ownership percentage of the Notes held by any Holder, and may rely conclusively on the Officer’s Certificate delivered by the Company as to the identity of any successor Administrative Determination Holder(s).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has the meaning set forth in Rule 144 as in effect on the Issue Date.</w:t>
      </w:r>
    </w:p>
    <w:p>
      <w:pPr>
        <w:spacing w:after="0" w:line="223" w:lineRule="exact"/>
        <w:rPr>
          <w:sz w:val="20"/>
          <w:szCs w:val="20"/>
          <w:color w:val="auto"/>
        </w:rPr>
      </w:pPr>
    </w:p>
    <w:p>
      <w:pPr>
        <w:jc w:val="both"/>
        <w:ind w:firstLine="62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means all laws, rules, and regulations of any jurisdiction applicable to the Company or any of its Affiliates from time to time concerning or relating to bribery or corruption.</w:t>
      </w:r>
    </w:p>
    <w:p>
      <w:pPr>
        <w:spacing w:after="0" w:line="1" w:lineRule="exact"/>
        <w:rPr>
          <w:sz w:val="20"/>
          <w:szCs w:val="20"/>
          <w:color w:val="auto"/>
        </w:rPr>
      </w:pPr>
    </w:p>
    <w:p>
      <w:pPr>
        <w:jc w:val="both"/>
        <w:ind w:firstLine="628"/>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Authorized Denomination</w:t>
      </w:r>
      <w:r>
        <w:rPr>
          <w:rFonts w:ascii="Times New Roman" w:cs="Times New Roman" w:eastAsia="Times New Roman" w:hAnsi="Times New Roman"/>
          <w:sz w:val="17"/>
          <w:szCs w:val="17"/>
          <w:color w:val="auto"/>
        </w:rPr>
        <w:t>” means, with respect to a Note, a principal amount thereof equal to a minimum of $1,000 or any integral multiple of $1,000 in excess thereof.</w:t>
      </w: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Bankruptcy Law</w:t>
      </w:r>
      <w:r>
        <w:rPr>
          <w:rFonts w:ascii="Times New Roman" w:cs="Times New Roman" w:eastAsia="Times New Roman" w:hAnsi="Times New Roman"/>
          <w:sz w:val="17"/>
          <w:szCs w:val="17"/>
          <w:color w:val="auto"/>
        </w:rPr>
        <w:t>” means Title 11, United States Code, or any similar U.S. federal or state or non-U.S. law for the relief of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means the board of directors of the Company or a committee of such board duly authorized to act on behalf of such board.</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other than a Saturday, a Sunday or any day on which the Federal Reserve Bank of New York is authorized or required by law or executive order to close or be closed.</w:t>
      </w:r>
    </w:p>
    <w:p>
      <w:pPr>
        <w:spacing w:after="0" w:line="143" w:lineRule="exact"/>
        <w:rPr>
          <w:sz w:val="20"/>
          <w:szCs w:val="20"/>
          <w:color w:val="auto"/>
        </w:rPr>
      </w:pPr>
    </w:p>
    <w:p>
      <w:pPr>
        <w:jc w:val="both"/>
        <w:ind w:firstLine="62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Expenditures</w:t>
      </w:r>
      <w:r>
        <w:rPr>
          <w:rFonts w:ascii="Times New Roman" w:cs="Times New Roman" w:eastAsia="Times New Roman" w:hAnsi="Times New Roman"/>
          <w:sz w:val="17"/>
          <w:szCs w:val="17"/>
          <w:color w:val="auto"/>
        </w:rPr>
        <w:t>” 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spacing w:after="0" w:line="365" w:lineRule="exact"/>
        <w:rPr>
          <w:sz w:val="20"/>
          <w:szCs w:val="20"/>
          <w:color w:val="auto"/>
        </w:rPr>
      </w:pPr>
    </w:p>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Lease Obligations</w:t>
      </w:r>
      <w:r>
        <w:rPr>
          <w:rFonts w:ascii="Times New Roman" w:cs="Times New Roman" w:eastAsia="Times New Roman" w:hAnsi="Times New Roman"/>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Notwithstanding the foregoing, any lease (whether entered into before or after the Issue Date) that would have been classified as an operating lease pursuant to GAAP as in effect on the Issue Date will be deemed not to represent a Capital Lease Obligation.</w:t>
      </w:r>
    </w:p>
    <w:p>
      <w:pPr>
        <w:spacing w:after="0" w:line="169"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Stock</w:t>
      </w:r>
      <w:r>
        <w:rPr>
          <w:rFonts w:ascii="Times New Roman" w:cs="Times New Roman" w:eastAsia="Times New Roman" w:hAnsi="Times New Roman"/>
          <w:sz w:val="17"/>
          <w:szCs w:val="17"/>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43"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Capped Call Transactions</w:t>
      </w:r>
      <w:r>
        <w:rPr>
          <w:rFonts w:ascii="Times New Roman" w:cs="Times New Roman" w:eastAsia="Times New Roman" w:hAnsi="Times New Roman"/>
          <w:sz w:val="17"/>
          <w:szCs w:val="17"/>
          <w:color w:val="auto"/>
        </w:rPr>
        <w:t>” means: (A) the capped call confirmations, dated September 9, 2021, between the Company and each of Deutsche Bank AG, Lond Branch, Goldman Sachs &amp; Co. LLC, JPMorgan Chase Bank, National Association, Credit Suisse Capital LLC, Mizuho Markets Americas LLC, Wells Fargo Bank, National Association, and Bank of Montreal (collectively, the “</w:t>
      </w:r>
      <w:r>
        <w:rPr>
          <w:rFonts w:ascii="Times New Roman" w:cs="Times New Roman" w:eastAsia="Times New Roman" w:hAnsi="Times New Roman"/>
          <w:sz w:val="17"/>
          <w:szCs w:val="17"/>
          <w:b w:val="1"/>
          <w:bCs w:val="1"/>
          <w:color w:val="auto"/>
        </w:rPr>
        <w:t>Capped Call Counterparties</w:t>
      </w:r>
      <w:r>
        <w:rPr>
          <w:rFonts w:ascii="Times New Roman" w:cs="Times New Roman" w:eastAsia="Times New Roman" w:hAnsi="Times New Roman"/>
          <w:sz w:val="17"/>
          <w:szCs w:val="17"/>
          <w:color w:val="auto"/>
        </w:rPr>
        <w:t>”), entered into in connection with the Company’s issuance of $650,000,000 of the Company’s Existing Notes; and (B) the capped call confirmations, dated September 10, 2021, between the Company and each of the Capped Call Counterparties, entered into in connection with the Company’s issuance of $100,000,000 of the Company’s Existing Notes.</w:t>
      </w: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Close of Business</w:t>
      </w:r>
      <w:r>
        <w:rPr>
          <w:rFonts w:ascii="Times New Roman" w:cs="Times New Roman" w:eastAsia="Times New Roman" w:hAnsi="Times New Roman"/>
          <w:sz w:val="17"/>
          <w:szCs w:val="17"/>
          <w:color w:val="auto"/>
        </w:rPr>
        <w:t>” means 5:00 p.m., New York City time.</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xml:space="preserve"> ” means (i) all the “Collateral” (or similar term) as defined in any of the Collateral Documents, (ii) the Material Real Property and (iii) all other property that is subject to any Lien in favor of the Collateral Agent, for the benefit of the Secured Parties, pursuant to any Collateral Document.</w:t>
      </w:r>
    </w:p>
    <w:p>
      <w:pPr>
        <w:spacing w:after="0" w:line="14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 means U.S. Bank Trust Company, National Association in its capacity as collateral agent under the Collateral Documents, together with its successors in such capacity.</w:t>
      </w:r>
    </w:p>
    <w:p>
      <w:pPr>
        <w:spacing w:after="0" w:line="143" w:lineRule="exact"/>
        <w:rPr>
          <w:sz w:val="20"/>
          <w:szCs w:val="20"/>
          <w:color w:val="auto"/>
        </w:rPr>
      </w:pPr>
    </w:p>
    <w:p>
      <w:pPr>
        <w:jc w:val="both"/>
        <w:ind w:firstLine="62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 Documents</w:t>
      </w:r>
      <w:r>
        <w:rPr>
          <w:rFonts w:ascii="Times New Roman" w:cs="Times New Roman" w:eastAsia="Times New Roman" w:hAnsi="Times New Roman"/>
          <w:sz w:val="17"/>
          <w:szCs w:val="17"/>
          <w:color w:val="auto"/>
        </w:rPr>
        <w:t>” means the Security Agreement and all other security agreements, pledge agreements, control agreements, collateral assignments, mortgages, deeds of trust or other instruments or other pledges, grants or transfers for security or agreements related thereto executed and delivered by the Company or any Guarantor creating or perfecting a lien upon Collateral (including, without limitation, financing statements under the UCC) in favor of the Collateral Agent, for the benefit of the Secured Parties, in each case, as amended, supplemented, modified or replaced in accordance with this Indenture and its terms.</w:t>
      </w:r>
    </w:p>
    <w:p>
      <w:pPr>
        <w:spacing w:after="0" w:line="3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xml:space="preserve">” means the common stock, $0.0001 par value per share, of the Company, subject to </w:t>
      </w: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means the Person named as such in the first paragraph of this Indenture and, subject to </w:t>
      </w:r>
      <w:r>
        <w:rPr>
          <w:rFonts w:ascii="Times New Roman" w:cs="Times New Roman" w:eastAsia="Times New Roman" w:hAnsi="Times New Roman"/>
          <w:sz w:val="17"/>
          <w:szCs w:val="17"/>
          <w:b w:val="1"/>
          <w:bCs w:val="1"/>
          <w:color w:val="auto"/>
        </w:rPr>
        <w:t>Article 6</w:t>
      </w:r>
      <w:r>
        <w:rPr>
          <w:rFonts w:ascii="Times New Roman" w:cs="Times New Roman" w:eastAsia="Times New Roman" w:hAnsi="Times New Roman"/>
          <w:sz w:val="17"/>
          <w:szCs w:val="17"/>
          <w:color w:val="auto"/>
        </w:rPr>
        <w:t>, its successors and assigns.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Order</w:t>
      </w:r>
      <w:r>
        <w:rPr>
          <w:rFonts w:ascii="Times New Roman" w:cs="Times New Roman" w:eastAsia="Times New Roman" w:hAnsi="Times New Roman"/>
          <w:sz w:val="17"/>
          <w:szCs w:val="17"/>
          <w:color w:val="auto"/>
        </w:rPr>
        <w:t>” means a written request or order signed on behalf of the Company by one (1) of its Officers and delivered to the Trustee.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Total Assets</w:t>
      </w:r>
      <w:r>
        <w:rPr>
          <w:rFonts w:ascii="Times New Roman" w:cs="Times New Roman" w:eastAsia="Times New Roman" w:hAnsi="Times New Roman"/>
          <w:sz w:val="17"/>
          <w:szCs w:val="17"/>
          <w:color w:val="auto"/>
        </w:rPr>
        <w:t>” means, at any date, total assets of the Company and its Subsidiaries calculated in accordance with GAAP on a consolidated basis as of such date.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EBITDA</w:t>
      </w:r>
      <w:r>
        <w:rPr>
          <w:rFonts w:ascii="Times New Roman" w:cs="Times New Roman" w:eastAsia="Times New Roman" w:hAnsi="Times New Roman"/>
          <w:sz w:val="17"/>
          <w:szCs w:val="17"/>
          <w:color w:val="auto"/>
        </w:rPr>
        <w:t>” means, for any period, all calculated for the Company and its Subsidiaries on a consolidated basis in accordance 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w:t>
      </w:r>
    </w:p>
    <w:p>
      <w:pPr>
        <w:spacing w:after="0" w:line="14" w:lineRule="exact"/>
        <w:rPr>
          <w:sz w:val="20"/>
          <w:szCs w:val="20"/>
          <w:color w:val="auto"/>
        </w:rPr>
      </w:pPr>
    </w:p>
    <w:p>
      <w:pPr>
        <w:ind w:left="1880" w:hanging="619"/>
        <w:spacing w:after="0"/>
        <w:tabs>
          <w:tab w:leader="none" w:pos="18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Consolidated Net Income; </w:t>
      </w:r>
      <w:r>
        <w:rPr>
          <w:rFonts w:ascii="Times New Roman" w:cs="Times New Roman" w:eastAsia="Times New Roman" w:hAnsi="Times New Roman"/>
          <w:sz w:val="17"/>
          <w:szCs w:val="17"/>
          <w:i w:val="1"/>
          <w:iCs w:val="1"/>
          <w:u w:val="single" w:color="auto"/>
          <w:color w:val="auto"/>
        </w:rPr>
        <w:t>plus</w:t>
      </w:r>
    </w:p>
    <w:p>
      <w:pPr>
        <w:spacing w:after="0" w:line="20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duplication and, except with respect to amounts added back pursuant to clauses (viii) or (ix), to the extent deducted in determining Consolidated Net Income for such period, the sum of:</w:t>
      </w:r>
    </w:p>
    <w:p>
      <w:pPr>
        <w:spacing w:after="0" w:line="145" w:lineRule="exact"/>
        <w:rPr>
          <w:rFonts w:ascii="Times New Roman" w:cs="Times New Roman" w:eastAsia="Times New Roman" w:hAnsi="Times New Roman"/>
          <w:sz w:val="17"/>
          <w:szCs w:val="17"/>
          <w:color w:val="auto"/>
        </w:rPr>
      </w:pPr>
    </w:p>
    <w:p>
      <w:pPr>
        <w:ind w:left="2520" w:hanging="631"/>
        <w:spacing w:after="0"/>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Interest Expense for such period;</w:t>
      </w:r>
    </w:p>
    <w:p>
      <w:pPr>
        <w:spacing w:after="0" w:line="223" w:lineRule="exact"/>
        <w:rPr>
          <w:rFonts w:ascii="Times New Roman" w:cs="Times New Roman" w:eastAsia="Times New Roman" w:hAnsi="Times New Roman"/>
          <w:sz w:val="17"/>
          <w:szCs w:val="17"/>
          <w:color w:val="auto"/>
        </w:rPr>
      </w:pPr>
    </w:p>
    <w:p>
      <w:pPr>
        <w:jc w:val="both"/>
        <w:ind w:left="2520" w:hanging="631"/>
        <w:spacing w:after="0" w:line="270" w:lineRule="auto"/>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for taxes based on income, profits, revenue or capital, including federal, foreign and state income, franchise, excise, sales value added, property and similar taxes based on income, profits, revenue or capital and foreign withholding taxes paid or accrued during such period (including in respect of repatriated funds) including penalties and interest related to such taxes or arising from any tax examinations for such period;</w:t>
      </w:r>
    </w:p>
    <w:p>
      <w:pPr>
        <w:spacing w:after="0" w:line="167" w:lineRule="exact"/>
        <w:rPr>
          <w:rFonts w:ascii="Times New Roman" w:cs="Times New Roman" w:eastAsia="Times New Roman" w:hAnsi="Times New Roman"/>
          <w:sz w:val="17"/>
          <w:szCs w:val="17"/>
          <w:color w:val="auto"/>
        </w:rPr>
      </w:pPr>
    </w:p>
    <w:p>
      <w:pPr>
        <w:ind w:left="2520" w:hanging="631"/>
        <w:spacing w:after="0" w:line="296" w:lineRule="auto"/>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attributable to depreciation and amortization expense (including amortization of capitalized software expenditures and amortization of sales commissions) for such period;</w:t>
      </w:r>
    </w:p>
    <w:p>
      <w:pPr>
        <w:spacing w:after="0" w:line="145" w:lineRule="exact"/>
        <w:rPr>
          <w:rFonts w:ascii="Times New Roman" w:cs="Times New Roman" w:eastAsia="Times New Roman" w:hAnsi="Times New Roman"/>
          <w:sz w:val="17"/>
          <w:szCs w:val="17"/>
          <w:color w:val="auto"/>
        </w:rPr>
      </w:pPr>
    </w:p>
    <w:p>
      <w:pPr>
        <w:jc w:val="both"/>
        <w:ind w:left="2520" w:hanging="631"/>
        <w:spacing w:after="0" w:line="270" w:lineRule="auto"/>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extraordinary, unusual, or non-recurring expenses, losses or charges for such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such amounts added back pursuant to this clause (iv) together with amounts added back pursuant to clauses (viii) and (ix) of this definition shall not, collectively, exceed 10% of Consolidated EBITDA in the aggregate for such period (before giving effect to such addbacks);</w:t>
      </w:r>
    </w:p>
    <w:p>
      <w:pPr>
        <w:spacing w:after="0" w:line="167" w:lineRule="exact"/>
        <w:rPr>
          <w:rFonts w:ascii="Times New Roman" w:cs="Times New Roman" w:eastAsia="Times New Roman" w:hAnsi="Times New Roman"/>
          <w:sz w:val="17"/>
          <w:szCs w:val="17"/>
          <w:color w:val="auto"/>
        </w:rPr>
      </w:pPr>
    </w:p>
    <w:p>
      <w:pPr>
        <w:jc w:val="both"/>
        <w:ind w:left="2520" w:hanging="631"/>
        <w:spacing w:after="0" w:line="265" w:lineRule="auto"/>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non-cash charges or adjustments, including any write-offs or write-downs reducing Consolidated Net Income for such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such non-cash charges represent an accrual or reserve for potential cash items in any future period (A) the Company may elect not to add back such non-cash charge in the current period and (B) to the extent the Company elects to add back such non-cash charge, the cash payment in respect thereof in such future period shall be subtracted from Consolidated EBITDA to such extent), and excluding amortization of a prepaid cash item that was paid in a prior period;</w:t>
      </w:r>
    </w:p>
    <w:p>
      <w:pPr>
        <w:spacing w:after="0" w:line="386" w:lineRule="exact"/>
        <w:rPr>
          <w:rFonts w:ascii="Times New Roman" w:cs="Times New Roman" w:eastAsia="Times New Roman" w:hAnsi="Times New Roman"/>
          <w:sz w:val="17"/>
          <w:szCs w:val="17"/>
          <w:color w:val="auto"/>
        </w:rPr>
      </w:pPr>
    </w:p>
    <w:p>
      <w:pPr>
        <w:ind w:left="2520" w:hanging="631"/>
        <w:spacing w:after="0" w:line="296" w:lineRule="auto"/>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fees (other than commitment fees), cash charges and other cash expenses made or incurred in connection with the Note Documents and the transactions contemplated hereunder;</w:t>
      </w:r>
    </w:p>
    <w:p>
      <w:pPr>
        <w:spacing w:after="0" w:line="145" w:lineRule="exact"/>
        <w:rPr>
          <w:rFonts w:ascii="Times New Roman" w:cs="Times New Roman" w:eastAsia="Times New Roman" w:hAnsi="Times New Roman"/>
          <w:sz w:val="17"/>
          <w:szCs w:val="17"/>
          <w:color w:val="auto"/>
        </w:rPr>
      </w:pPr>
    </w:p>
    <w:p>
      <w:pPr>
        <w:jc w:val="both"/>
        <w:ind w:left="2520" w:hanging="631"/>
        <w:spacing w:after="0" w:line="266" w:lineRule="auto"/>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transaction fees, costs and expenses incurred in connection with Permitted Acquisitions, issuances of equity interests, sale of assets outside the ordinary course of business, Restricted Payments permitted under </w:t>
      </w:r>
      <w:r>
        <w:rPr>
          <w:rFonts w:ascii="Times New Roman" w:cs="Times New Roman" w:eastAsia="Times New Roman" w:hAnsi="Times New Roman"/>
          <w:sz w:val="17"/>
          <w:szCs w:val="17"/>
          <w:b w:val="1"/>
          <w:bCs w:val="1"/>
          <w:color w:val="auto"/>
        </w:rPr>
        <w:t>Section 3.15</w:t>
      </w:r>
      <w:r>
        <w:rPr>
          <w:rFonts w:ascii="Times New Roman" w:cs="Times New Roman" w:eastAsia="Times New Roman" w:hAnsi="Times New Roman"/>
          <w:sz w:val="17"/>
          <w:szCs w:val="17"/>
          <w:color w:val="auto"/>
        </w:rPr>
        <w:t xml:space="preserve"> and any Indebtedness permitted under </w:t>
      </w:r>
      <w:r>
        <w:rPr>
          <w:rFonts w:ascii="Times New Roman" w:cs="Times New Roman" w:eastAsia="Times New Roman" w:hAnsi="Times New Roman"/>
          <w:sz w:val="17"/>
          <w:szCs w:val="17"/>
          <w:b w:val="1"/>
          <w:bCs w:val="1"/>
          <w:color w:val="auto"/>
        </w:rPr>
        <w:t>Section 3.08</w:t>
      </w:r>
      <w:r>
        <w:rPr>
          <w:rFonts w:ascii="Times New Roman" w:cs="Times New Roman" w:eastAsia="Times New Roman" w:hAnsi="Times New Roman"/>
          <w:sz w:val="17"/>
          <w:szCs w:val="17"/>
          <w:color w:val="auto"/>
        </w:rPr>
        <w:t xml:space="preserve">, in each case, whether or not consummated;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added back to this clause (vii) for such transactions which are not consummated shall not exceed 10% of Consolidated EBITDA in the aggregate for such period (before giving effect to this addback).</w:t>
      </w:r>
    </w:p>
    <w:p>
      <w:pPr>
        <w:spacing w:after="0" w:line="172" w:lineRule="exact"/>
        <w:rPr>
          <w:rFonts w:ascii="Times New Roman" w:cs="Times New Roman" w:eastAsia="Times New Roman" w:hAnsi="Times New Roman"/>
          <w:sz w:val="17"/>
          <w:szCs w:val="17"/>
          <w:color w:val="auto"/>
        </w:rPr>
      </w:pPr>
    </w:p>
    <w:p>
      <w:pPr>
        <w:jc w:val="both"/>
        <w:ind w:left="2520" w:hanging="631"/>
        <w:spacing w:after="0" w:line="264" w:lineRule="auto"/>
        <w:tabs>
          <w:tab w:leader="none" w:pos="2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restructuring and similar cash charges or cash expenses, including severance, relocation costs, start up or initial costs, integration and facilities opening costs and other business optimization expenses, signing costs, retention or completion bonuses, recruiting costs, transition costs, costs related to curtailments or modifications to pension and post-retirement employee benefit plans;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such amounts added back pursuant to this clause (viii) together with amounts added back pursuant to clauses (iv) and (ix) of this definition shall not, collectively, exceed 10% of Consolidated EBITDA in the aggregate for such period (before giving effect to such addbacks);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3" w:name="page44"/>
    <w:bookmarkEnd w:id="43"/>
    <w:p>
      <w:pPr>
        <w:jc w:val="both"/>
        <w:ind w:left="1400" w:hanging="631"/>
        <w:spacing w:after="0" w:line="259" w:lineRule="auto"/>
        <w:tabs>
          <w:tab w:leader="none" w:pos="14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duplication, the amount of “run rate” cost savings (it being understood and agreed that “run rate” shall mean the full recurring benefit that is associated with any action taken or committed to be taken, net of the amount of actual benefits realized during such period from such actions), operating expense reductions and cost-related synergies (including any restructuring and integration charges) related to any Permitted Acquisition, any restructuring, or cost saving initiative, in each case, projected by the Company in good faith to be realized as a result of actions that have been taken or are committed to be taken on or prior to the date that is 12 months after the end of the relevant fiscal quarter (which cost savings, operating expense reductions and cost-related synergies shall be added to Consolidated EBITDA until fully realized and calculated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as though such cost savings, operating expense reductions and cost-related synergies had been realized on the first day of the fiscal quarter), net of the amount of actual benefits realized from such 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cost savings, operating expense reductions and cost-related synergies are reasonably quantifiable and factually supportable and</w:t>
      </w:r>
    </w:p>
    <w:p>
      <w:pPr>
        <w:spacing w:after="0" w:line="1" w:lineRule="exact"/>
        <w:rPr>
          <w:rFonts w:ascii="Times New Roman" w:cs="Times New Roman" w:eastAsia="Times New Roman" w:hAnsi="Times New Roman"/>
          <w:sz w:val="17"/>
          <w:szCs w:val="17"/>
          <w:color w:val="auto"/>
        </w:rPr>
      </w:pPr>
    </w:p>
    <w:p>
      <w:pPr>
        <w:jc w:val="both"/>
        <w:ind w:left="1400" w:hanging="3"/>
        <w:spacing w:after="0" w:line="265" w:lineRule="auto"/>
        <w:tabs>
          <w:tab w:leader="none" w:pos="1726"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added back pursuant to this clause (ix) together with amounts added back pursuant to clauses (iv) and (viii) of this definition shall not, collectively, exceed 10% of Consolidated EBITDA in the aggregate for such period (before giving effect to such addbacks);</w:t>
      </w:r>
    </w:p>
    <w:p>
      <w:pPr>
        <w:spacing w:after="0" w:line="171" w:lineRule="exact"/>
        <w:rPr>
          <w:rFonts w:ascii="Times New Roman" w:cs="Times New Roman" w:eastAsia="Times New Roman" w:hAnsi="Times New Roman"/>
          <w:sz w:val="17"/>
          <w:szCs w:val="17"/>
          <w:color w:val="auto"/>
        </w:rPr>
      </w:pPr>
    </w:p>
    <w:p>
      <w:pPr>
        <w:jc w:val="both"/>
        <w:ind w:left="1400" w:hanging="631"/>
        <w:spacing w:after="0" w:line="264" w:lineRule="auto"/>
        <w:tabs>
          <w:tab w:leader="none" w:pos="14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non-cash charges, expenses or losses deducted in the calculation of such Consolidated Net Income (or minus non-cash income or gains included in such calculation) including non-cash adjustments resulting from the application of purchase accounting, non-cash expenses arising from grants of stock appreciation rights, stock options or restricted stock, non-cash impairment of goodwill and other long term intangible assets, unrealized non-cash losses (or minus unrealized non-cash gains) under rate contracts, unrealized non-cash losses (or minus unrealized non-cash gains) in such period due solely to fluctuations in currency values;</w:t>
      </w:r>
    </w:p>
    <w:p>
      <w:pPr>
        <w:spacing w:after="0" w:line="175" w:lineRule="exact"/>
        <w:rPr>
          <w:rFonts w:ascii="Times New Roman" w:cs="Times New Roman" w:eastAsia="Times New Roman" w:hAnsi="Times New Roman"/>
          <w:sz w:val="17"/>
          <w:szCs w:val="17"/>
          <w:color w:val="auto"/>
        </w:rPr>
      </w:pPr>
    </w:p>
    <w:p>
      <w:pPr>
        <w:jc w:val="both"/>
        <w:ind w:left="1400" w:hanging="631"/>
        <w:spacing w:after="0" w:line="266" w:lineRule="auto"/>
        <w:tabs>
          <w:tab w:leader="none" w:pos="14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non-cash compensation expense (including deferred non-cash compensation expense), or other non-cash expenses or charges, arising from the sale or issuance of equity interests, stock appreciation rights, or similar arrangements, or (B) any other costs or expenses incurred or paid by the Company or any Subsidiary pursuant to any management equity plan or stock option plan or any other management or employee benefit plan or long term incentive plan or agreement or any stock subscription or shareholder agreement; and</w:t>
      </w:r>
    </w:p>
    <w:p>
      <w:pPr>
        <w:spacing w:after="0" w:line="172" w:lineRule="exact"/>
        <w:rPr>
          <w:rFonts w:ascii="Times New Roman" w:cs="Times New Roman" w:eastAsia="Times New Roman" w:hAnsi="Times New Roman"/>
          <w:sz w:val="17"/>
          <w:szCs w:val="17"/>
          <w:color w:val="auto"/>
        </w:rPr>
      </w:pPr>
    </w:p>
    <w:p>
      <w:pPr>
        <w:jc w:val="both"/>
        <w:ind w:left="1400" w:hanging="631"/>
        <w:spacing w:after="0" w:line="266" w:lineRule="auto"/>
        <w:tabs>
          <w:tab w:leader="none" w:pos="14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covered by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days), expenses, charges or losses with respect to liability or casualty events or business interruption; </w:t>
      </w:r>
      <w:r>
        <w:rPr>
          <w:rFonts w:ascii="Times New Roman" w:cs="Times New Roman" w:eastAsia="Times New Roman" w:hAnsi="Times New Roman"/>
          <w:sz w:val="17"/>
          <w:szCs w:val="17"/>
          <w:i w:val="1"/>
          <w:iCs w:val="1"/>
          <w:color w:val="auto"/>
        </w:rPr>
        <w:t>plus</w:t>
      </w:r>
    </w:p>
    <w:p>
      <w:pPr>
        <w:spacing w:after="0" w:line="172" w:lineRule="exact"/>
        <w:rPr>
          <w:rFonts w:ascii="Times New Roman" w:cs="Times New Roman" w:eastAsia="Times New Roman" w:hAnsi="Times New Roman"/>
          <w:sz w:val="17"/>
          <w:szCs w:val="17"/>
          <w:color w:val="auto"/>
        </w:rPr>
      </w:pPr>
    </w:p>
    <w:p>
      <w:pPr>
        <w:ind w:left="-480" w:firstLine="621"/>
        <w:spacing w:after="0" w:line="296"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of any increase in deferred revenue on the balance sheet of the Company from the first day of such period compared to the last day of such period; </w:t>
      </w:r>
      <w:r>
        <w:rPr>
          <w:rFonts w:ascii="Times New Roman" w:cs="Times New Roman" w:eastAsia="Times New Roman" w:hAnsi="Times New Roman"/>
          <w:sz w:val="17"/>
          <w:szCs w:val="17"/>
          <w:i w:val="1"/>
          <w:iCs w:val="1"/>
          <w:color w:val="auto"/>
        </w:rPr>
        <w:t>minus</w:t>
      </w:r>
    </w:p>
    <w:p>
      <w:pPr>
        <w:spacing w:after="0" w:line="145" w:lineRule="exact"/>
        <w:rPr>
          <w:rFonts w:ascii="Times New Roman" w:cs="Times New Roman" w:eastAsia="Times New Roman" w:hAnsi="Times New Roman"/>
          <w:sz w:val="17"/>
          <w:szCs w:val="17"/>
          <w:color w:val="auto"/>
        </w:rPr>
      </w:pPr>
    </w:p>
    <w:p>
      <w:pPr>
        <w:ind w:left="-480" w:firstLine="621"/>
        <w:spacing w:after="0" w:line="296"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of any decrease in deferred revenue on the balance sheet of the Company from the first day of such period compared to the last day of such period; </w:t>
      </w:r>
      <w:r>
        <w:rPr>
          <w:rFonts w:ascii="Times New Roman" w:cs="Times New Roman" w:eastAsia="Times New Roman" w:hAnsi="Times New Roman"/>
          <w:sz w:val="17"/>
          <w:szCs w:val="17"/>
          <w:i w:val="1"/>
          <w:iCs w:val="1"/>
          <w:color w:val="auto"/>
        </w:rPr>
        <w:t>minus</w:t>
      </w:r>
    </w:p>
    <w:p>
      <w:pPr>
        <w:spacing w:after="0" w:line="145" w:lineRule="exact"/>
        <w:rPr>
          <w:rFonts w:ascii="Times New Roman" w:cs="Times New Roman" w:eastAsia="Times New Roman" w:hAnsi="Times New Roman"/>
          <w:sz w:val="17"/>
          <w:szCs w:val="17"/>
          <w:color w:val="auto"/>
        </w:rPr>
      </w:pPr>
    </w:p>
    <w:p>
      <w:pPr>
        <w:jc w:val="both"/>
        <w:ind w:left="-480" w:firstLine="621"/>
        <w:spacing w:after="0" w:line="276"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duplication and to the extent included in Consolidated Net Income, any extraordinary, unusual or nonrecurring gains, and any non-cash gains or adjustments for such period, excluding any such non-cash gain or credit to the extent representing a reversal of an accrual or reserve for a potential cash item in any future period that reduced Consolidated EBITDA in any prior period.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20320</wp:posOffset>
            </wp:positionV>
            <wp:extent cx="7136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120"/>
          </w:cols>
          <w:pgMar w:left="1440" w:top="1011" w:right="339" w:bottom="1440" w:gutter="0" w:footer="0" w:header="0"/>
        </w:sectPr>
      </w:pPr>
    </w:p>
    <w:bookmarkStart w:id="44" w:name="page45"/>
    <w:bookmarkEnd w:id="44"/>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Interest Expense</w:t>
      </w:r>
      <w:r>
        <w:rPr>
          <w:rFonts w:ascii="Times New Roman" w:cs="Times New Roman" w:eastAsia="Times New Roman" w:hAnsi="Times New Roman"/>
          <w:sz w:val="17"/>
          <w:szCs w:val="17"/>
          <w:color w:val="auto"/>
        </w:rPr>
        <w:t>”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Company and its Subsidiaries on a consolidated basis for such period in accordance with GAAP. For purposes of the foregoing, interest expense shall exclude one-time financing fees (including arrangement, amendment and contract fees), debt issuance costs, commissions, and expenses, and in each case, the amortization thereof. For purposes of the foregoing, interest expense shall be determined after giving effect to any net payments made or received by the Company and its Subsidiaries under Swap Agreements in respect of interest rates, to the extent such net costs are allocable to such period in accordance with GAAP.</w:t>
      </w:r>
    </w:p>
    <w:p>
      <w:pPr>
        <w:spacing w:after="0" w:line="177"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Net Income</w:t>
      </w:r>
      <w:r>
        <w:rPr>
          <w:rFonts w:ascii="Times New Roman" w:cs="Times New Roman" w:eastAsia="Times New Roman" w:hAnsi="Times New Roman"/>
          <w:sz w:val="17"/>
          <w:szCs w:val="17"/>
          <w:color w:val="auto"/>
        </w:rPr>
        <w:t xml:space="preserve">” means, for any period, the consolidated net income (or loss) determined for the Company and its Subsidiaries, on a consolidated basis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there shall be excluded (a) the income (or deficit) of any Person accrued prior to the date it becomes a Subsidiary or is merged into or consolidated with the Company or any Subsidiary, (b) the income (or deficit) of any Person (other than a Subsidiary) in which the Company or any Subsidiary has an ownership interest, except to the extent that any such income is actually received by the Company or such Subsidiary in the form of dividends or similar distributions, (c) the undistributed earnings of any Subsidiary, to the extent that the declaration or payment of dividends or similar distributions by such Subsidiary is not at the time permitted by the terms of any contractual obligation (other than under any Note Document) or requirement of law applicable to such Subsidiary and (d) the cumulative effect of a change in accounting principles during such period to the extent included in net income.</w:t>
      </w:r>
    </w:p>
    <w:p>
      <w:pPr>
        <w:spacing w:after="0" w:line="384"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 Agreement</w:t>
      </w:r>
      <w:r>
        <w:rPr>
          <w:rFonts w:ascii="Times New Roman" w:cs="Times New Roman" w:eastAsia="Times New Roman" w:hAnsi="Times New Roman"/>
          <w:sz w:val="17"/>
          <w:szCs w:val="17"/>
          <w:color w:val="auto"/>
        </w:rPr>
        <w:t>” means a springing account control agreement, in form reasonably acceptable to the Collateral Agent and the Required Holders (it being agreed that any such agreements requiring U.S. Bank Trust Company, National Association, in its individual capacity, to indemnify a depositary institution shall not be reasonably satisfactory to the Collateral Agent).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Controlled Accounts</w:t>
      </w:r>
      <w:r>
        <w:rPr>
          <w:rFonts w:ascii="Times New Roman" w:cs="Times New Roman" w:eastAsia="Times New Roman" w:hAnsi="Times New Roman"/>
          <w:sz w:val="17"/>
          <w:szCs w:val="17"/>
          <w:color w:val="auto"/>
        </w:rPr>
        <w:t xml:space="preserve">” has the meaning assigned to such term in </w:t>
      </w:r>
      <w:r>
        <w:rPr>
          <w:rFonts w:ascii="Times New Roman" w:cs="Times New Roman" w:eastAsia="Times New Roman" w:hAnsi="Times New Roman"/>
          <w:sz w:val="17"/>
          <w:szCs w:val="17"/>
          <w:b w:val="1"/>
          <w:bCs w:val="1"/>
          <w:color w:val="auto"/>
        </w:rPr>
        <w:t>Section 3.19</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Date</w:t>
      </w:r>
      <w:r>
        <w:rPr>
          <w:rFonts w:ascii="Times New Roman" w:cs="Times New Roman" w:eastAsia="Times New Roman" w:hAnsi="Times New Roman"/>
          <w:sz w:val="17"/>
          <w:szCs w:val="17"/>
          <w:color w:val="auto"/>
        </w:rPr>
        <w:t xml:space="preserve">” means, with respect to a Note, the first Business Day on which the requirements set forth in </w:t>
      </w:r>
      <w:r>
        <w:rPr>
          <w:rFonts w:ascii="Times New Roman" w:cs="Times New Roman" w:eastAsia="Times New Roman" w:hAnsi="Times New Roman"/>
          <w:sz w:val="17"/>
          <w:szCs w:val="17"/>
          <w:b w:val="1"/>
          <w:bCs w:val="1"/>
          <w:color w:val="auto"/>
        </w:rPr>
        <w:t>Section 5.02(A)</w:t>
      </w:r>
      <w:r>
        <w:rPr>
          <w:rFonts w:ascii="Times New Roman" w:cs="Times New Roman" w:eastAsia="Times New Roman" w:hAnsi="Times New Roman"/>
          <w:sz w:val="17"/>
          <w:szCs w:val="17"/>
          <w:color w:val="auto"/>
        </w:rPr>
        <w:t xml:space="preserve"> to convert such Note are satisfied, subject to </w:t>
      </w:r>
      <w:r>
        <w:rPr>
          <w:rFonts w:ascii="Times New Roman" w:cs="Times New Roman" w:eastAsia="Times New Roman" w:hAnsi="Times New Roman"/>
          <w:sz w:val="17"/>
          <w:szCs w:val="17"/>
          <w:b w:val="1"/>
          <w:bCs w:val="1"/>
          <w:color w:val="auto"/>
        </w:rPr>
        <w:t>Section 5.03(C)</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xml:space="preserve">” means, as of any time, an amount equal to (A) one thousand dollars ($1,000)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(B) the Conversion Rate in effect at such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20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Rate</w:t>
      </w:r>
      <w:r>
        <w:rPr>
          <w:rFonts w:ascii="Times New Roman" w:cs="Times New Roman" w:eastAsia="Times New Roman" w:hAnsi="Times New Roman"/>
          <w:sz w:val="17"/>
          <w:szCs w:val="17"/>
          <w:color w:val="auto"/>
        </w:rPr>
        <w:t xml:space="preserve">” initially means 349.6503 shares of Common Stock per $1,000 principal amount of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Conversion Rate is subject to adjustment pursuant to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Share</w:t>
      </w:r>
      <w:r>
        <w:rPr>
          <w:rFonts w:ascii="Times New Roman" w:cs="Times New Roman" w:eastAsia="Times New Roman" w:hAnsi="Times New Roman"/>
          <w:sz w:val="17"/>
          <w:szCs w:val="17"/>
          <w:color w:val="auto"/>
        </w:rPr>
        <w:t>” means any share of Common Stock issued or issuable upon conversion of any Note.</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Cash Amount</w:t>
      </w:r>
      <w:r>
        <w:rPr>
          <w:rFonts w:ascii="Times New Roman" w:cs="Times New Roman" w:eastAsia="Times New Roman" w:hAnsi="Times New Roman"/>
          <w:sz w:val="17"/>
          <w:szCs w:val="17"/>
          <w:color w:val="auto"/>
        </w:rPr>
        <w:t>” means, with respect to any VWAP Trading Day, the lesser of (A) the applicable Daily Maximum Cash Amount; and (B) the Daily Conversion Value for such VWAP Trading Day.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Conversion Value</w:t>
      </w:r>
      <w:r>
        <w:rPr>
          <w:rFonts w:ascii="Times New Roman" w:cs="Times New Roman" w:eastAsia="Times New Roman" w:hAnsi="Times New Roman"/>
          <w:sz w:val="17"/>
          <w:szCs w:val="17"/>
          <w:color w:val="auto"/>
        </w:rPr>
        <w:t>” means, with respect to any VWAP Trading Day, one-fortieth (1/40th) of the product of (A) the Conversion Rate on such VWAP Trading Day; and (B) the Daily VWAP per share of Common Stock on such VWAP Trading Day.</w:t>
      </w:r>
    </w:p>
    <w:p>
      <w:pPr>
        <w:spacing w:after="0" w:line="14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Maximum Cash Amount</w:t>
      </w:r>
      <w:r>
        <w:rPr>
          <w:rFonts w:ascii="Times New Roman" w:cs="Times New Roman" w:eastAsia="Times New Roman" w:hAnsi="Times New Roman"/>
          <w:sz w:val="17"/>
          <w:szCs w:val="17"/>
          <w:color w:val="auto"/>
        </w:rPr>
        <w:t>” means, with respect to the conversion of any Note, the quotient obtained by dividing (A) the Specified Dollar Amount applicable to such conversion by (B) forty (40).</w:t>
      </w:r>
    </w:p>
    <w:p>
      <w:pPr>
        <w:spacing w:after="0" w:line="143" w:lineRule="exact"/>
        <w:rPr>
          <w:sz w:val="20"/>
          <w:szCs w:val="20"/>
          <w:color w:val="auto"/>
        </w:rPr>
      </w:pPr>
    </w:p>
    <w:p>
      <w:pPr>
        <w:jc w:val="both"/>
        <w:ind w:firstLine="62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Share Amount</w:t>
      </w:r>
      <w:r>
        <w:rPr>
          <w:rFonts w:ascii="Times New Roman" w:cs="Times New Roman" w:eastAsia="Times New Roman" w:hAnsi="Times New Roman"/>
          <w:sz w:val="17"/>
          <w:szCs w:val="17"/>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377"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VWAP</w:t>
      </w:r>
      <w:r>
        <w:rPr>
          <w:rFonts w:ascii="Times New Roman" w:cs="Times New Roman" w:eastAsia="Times New Roman" w:hAnsi="Times New Roman"/>
          <w:sz w:val="17"/>
          <w:szCs w:val="17"/>
          <w:color w:val="auto"/>
        </w:rPr>
        <w:t>” means, for any VWAP Trading Day, the per share volume-weighted average price of the Common Stock as displayed under the heading “Bloomberg VWAP” on Bloomberg page “SKIN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70"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Deerfield Holders</w:t>
      </w:r>
      <w:r>
        <w:rPr>
          <w:rFonts w:ascii="Times New Roman" w:cs="Times New Roman" w:eastAsia="Times New Roman" w:hAnsi="Times New Roman"/>
          <w:sz w:val="17"/>
          <w:szCs w:val="17"/>
          <w:color w:val="auto"/>
        </w:rPr>
        <w:t>” means Deerfield Partners, L.P. and any investment fund or managed account that is managed on a discretionary basis by the same investment manager as Deerfield Partners, L.P. to which any of the Notes (or beneficial interests therein) are transferred or assigned or which otherwise becomes a beneficial owner of any of the Notes.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w:t>
      </w:r>
      <w:r>
        <w:rPr>
          <w:rFonts w:ascii="Times New Roman" w:cs="Times New Roman" w:eastAsia="Times New Roman" w:hAnsi="Times New Roman"/>
          <w:sz w:val="17"/>
          <w:szCs w:val="17"/>
          <w:color w:val="auto"/>
        </w:rPr>
        <w:t>” means any event that is (or, after notice, passage of time or both, would be) an Event of Default.</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 Settlement Method</w:t>
      </w:r>
      <w:r>
        <w:rPr>
          <w:rFonts w:ascii="Times New Roman" w:cs="Times New Roman" w:eastAsia="Times New Roman" w:hAnsi="Times New Roman"/>
          <w:sz w:val="17"/>
          <w:szCs w:val="17"/>
          <w:color w:val="auto"/>
        </w:rPr>
        <w:t xml:space="preserve">” means Combination Settlement with a Specified Dollar Amount of $1,000 per $1,000 principal amount of Notes; provided that if the conditions set forth in </w:t>
      </w:r>
      <w:r>
        <w:rPr>
          <w:rFonts w:ascii="Times New Roman" w:cs="Times New Roman" w:eastAsia="Times New Roman" w:hAnsi="Times New Roman"/>
          <w:sz w:val="17"/>
          <w:szCs w:val="17"/>
          <w:b w:val="1"/>
          <w:bCs w:val="1"/>
          <w:color w:val="auto"/>
        </w:rPr>
        <w:t>Section 5.03(A)(i)(5)</w:t>
      </w:r>
      <w:r>
        <w:rPr>
          <w:rFonts w:ascii="Times New Roman" w:cs="Times New Roman" w:eastAsia="Times New Roman" w:hAnsi="Times New Roman"/>
          <w:sz w:val="17"/>
          <w:szCs w:val="17"/>
          <w:color w:val="auto"/>
        </w:rPr>
        <w:t xml:space="preserve"> are not satisfied, then Cash Settlement.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means The Depository Trust Company or its successor.</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Depositary Participant</w:t>
      </w:r>
      <w:r>
        <w:rPr>
          <w:rFonts w:ascii="Times New Roman" w:cs="Times New Roman" w:eastAsia="Times New Roman" w:hAnsi="Times New Roman"/>
          <w:sz w:val="17"/>
          <w:szCs w:val="17"/>
          <w:color w:val="auto"/>
        </w:rPr>
        <w:t>” means any member of, or participant in, the Depositary.</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Depositary Procedures</w:t>
      </w:r>
      <w:r>
        <w:rPr>
          <w:rFonts w:ascii="Times New Roman" w:cs="Times New Roman" w:eastAsia="Times New Roman" w:hAnsi="Times New Roman"/>
          <w:sz w:val="17"/>
          <w:szCs w:val="17"/>
          <w:color w:val="auto"/>
        </w:rPr>
        <w:t>” means, with respect to any conversion, transfer, exchange or other transaction involving a Global Note or any beneficial interest therein, the rules and procedures of the Depositary applicable to such conversion, transfer, exchange or transaction.</w:t>
      </w:r>
    </w:p>
    <w:p>
      <w:pPr>
        <w:spacing w:after="0" w:line="143" w:lineRule="exact"/>
        <w:rPr>
          <w:sz w:val="20"/>
          <w:szCs w:val="20"/>
          <w:color w:val="auto"/>
        </w:rPr>
      </w:pPr>
    </w:p>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Dispose</w:t>
      </w:r>
      <w:r>
        <w:rPr>
          <w:rFonts w:ascii="Times New Roman" w:cs="Times New Roman" w:eastAsia="Times New Roman" w:hAnsi="Times New Roman"/>
          <w:sz w:val="17"/>
          <w:szCs w:val="17"/>
          <w:color w:val="auto"/>
        </w:rPr>
        <w:t xml:space="preserve">”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Disposition and Dispose shall not be deemed to include any issuance by the Company of any of its Equity Interests to another Person.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Disposition Date</w:t>
      </w:r>
      <w:r>
        <w:rPr>
          <w:rFonts w:ascii="Times New Roman" w:cs="Times New Roman" w:eastAsia="Times New Roman" w:hAnsi="Times New Roman"/>
          <w:sz w:val="17"/>
          <w:szCs w:val="17"/>
          <w:color w:val="auto"/>
        </w:rPr>
        <w:t>” means the first date occurring after the Issue Date on which the Deerfield Holders cease to beneficially own at least 25% of the aggregate principal amount of the Notes then outstanding (without giving effect to any Additional Notes) (as determined by the Company in good faith). Promptly following the date it has actual knowledge thereof, the Company shall notify the Trustee and the Collateral Agent in writing of the occurrence of the Disposition Date, upon which notice the Trustee and the Collateral Agent may conclusively presume that the Disposition Date has occurred.</w:t>
      </w:r>
    </w:p>
    <w:p>
      <w:pPr>
        <w:spacing w:after="0" w:line="167" w:lineRule="exact"/>
        <w:rPr>
          <w:sz w:val="20"/>
          <w:szCs w:val="20"/>
          <w:color w:val="auto"/>
        </w:rPr>
      </w:pPr>
    </w:p>
    <w:p>
      <w:pPr>
        <w:jc w:val="both"/>
        <w:ind w:firstLine="62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Disqualified Equity Interests</w:t>
      </w:r>
      <w:r>
        <w:rPr>
          <w:rFonts w:ascii="Times New Roman" w:cs="Times New Roman" w:eastAsia="Times New Roman" w:hAnsi="Times New Roman"/>
          <w:sz w:val="17"/>
          <w:szCs w:val="17"/>
          <w:color w:val="auto"/>
        </w:rPr>
        <w:t>” means, with respect to any Person, any equity interest in such Person that by its terms (or by the terms of any other equity interest into which it is convertible or exchangeable) or upon the happening of any event or condition (a) matures (excluding maturity as a result of an option redemption by the issuer thereof) or is subject to mandatory redemption or repurchase (other than solely for equity interests that are not Disqualified Equity Interests and cash in lieu of fractional shares) pursuant to a sinking fund obligation or otherwise, in whole or in part, on or prior to the date that is ninety-one (91) days following the latest maturity date of the Notes; (b) is convertible into or exchangeable or exercisable for Indebtedness or any Disqualified Equity Interest, at the option of the holder thereof; (c) may be required to be redeemed or repurchased at the option of the holder thereof (other than solely for equity interests that are not Disqualified Equity Interests and cash in lieu of fractional shares), in whole or in part, in each case on or before the date that is ninety-one</w:t>
      </w:r>
    </w:p>
    <w:p>
      <w:pPr>
        <w:spacing w:after="0" w:line="3" w:lineRule="exact"/>
        <w:rPr>
          <w:sz w:val="20"/>
          <w:szCs w:val="20"/>
          <w:color w:val="auto"/>
        </w:rPr>
      </w:pPr>
    </w:p>
    <w:p>
      <w:pPr>
        <w:jc w:val="both"/>
        <w:ind w:firstLine="5"/>
        <w:spacing w:after="0" w:line="261" w:lineRule="auto"/>
        <w:tabs>
          <w:tab w:leader="none" w:pos="33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after the latest maturity date of the Notes; or (d) provides for scheduled payments to be made in cash,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equity interests are issued pursuant to a plan for the benefit of future, current or former employees, directors or officers of the Company or any Subsidiary or by any such plan to such employees, directors or officers, such equity interests shall not constitute Disqualified Equity Interests solely because it may be required to be repurchased by the Company or any Subsidiary in order to satisfy applicable statutory or regulatory obligations or as a result of such employee’s, director’s or officer’s termination, death or disability.</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Domestic Subsidiary</w:t>
      </w:r>
      <w:r>
        <w:rPr>
          <w:rFonts w:ascii="Times New Roman" w:cs="Times New Roman" w:eastAsia="Times New Roman" w:hAnsi="Times New Roman"/>
          <w:sz w:val="17"/>
          <w:szCs w:val="17"/>
          <w:color w:val="auto"/>
        </w:rPr>
        <w:t>” means a Subsidiary organized under the laws of a jurisdiction located in the United States of America.</w:t>
      </w:r>
    </w:p>
    <w:p>
      <w:pPr>
        <w:spacing w:after="0" w:line="22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Earn-outs</w:t>
      </w:r>
      <w:r>
        <w:rPr>
          <w:rFonts w:ascii="Times New Roman" w:cs="Times New Roman" w:eastAsia="Times New Roman" w:hAnsi="Times New Roman"/>
          <w:sz w:val="17"/>
          <w:szCs w:val="17"/>
          <w:color w:val="auto"/>
        </w:rPr>
        <w:t>” means unsecured liabilities of a Person arising under an agreement to make any deferred payment as a part of the purchase price of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60" w:lineRule="exact"/>
        <w:rPr>
          <w:sz w:val="20"/>
          <w:szCs w:val="20"/>
          <w:color w:val="auto"/>
        </w:rPr>
      </w:pPr>
    </w:p>
    <w:p>
      <w:pPr>
        <w:jc w:val="both"/>
        <w:ind w:firstLine="62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Ex-Dividend Date</w:t>
      </w:r>
      <w:r>
        <w:rPr>
          <w:rFonts w:ascii="Times New Roman" w:cs="Times New Roman" w:eastAsia="Times New Roman" w:hAnsi="Times New Roman"/>
          <w:sz w:val="17"/>
          <w:szCs w:val="17"/>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3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Agreements</w:t>
      </w:r>
      <w:r>
        <w:rPr>
          <w:rFonts w:ascii="Times New Roman" w:cs="Times New Roman" w:eastAsia="Times New Roman" w:hAnsi="Times New Roman"/>
          <w:sz w:val="17"/>
          <w:szCs w:val="17"/>
          <w:color w:val="auto"/>
        </w:rPr>
        <w:t>” means those certain exchange agreements, dated May 21, 2025, between the Company and those certain investors named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therein.</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Account</w:t>
      </w:r>
      <w:r>
        <w:rPr>
          <w:rFonts w:ascii="Times New Roman" w:cs="Times New Roman" w:eastAsia="Times New Roman" w:hAnsi="Times New Roman"/>
          <w:sz w:val="17"/>
          <w:szCs w:val="17"/>
          <w:color w:val="auto"/>
        </w:rPr>
        <w:t>” has the meaning assigned to such term in the Security Agreement.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Asset</w:t>
      </w:r>
      <w:r>
        <w:rPr>
          <w:rFonts w:ascii="Times New Roman" w:cs="Times New Roman" w:eastAsia="Times New Roman" w:hAnsi="Times New Roman"/>
          <w:sz w:val="17"/>
          <w:szCs w:val="17"/>
          <w:color w:val="auto"/>
        </w:rPr>
        <w:t>” shall have the meaning assigned to such term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jc w:val="both"/>
        <w:ind w:firstLine="62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Subsidiary</w:t>
      </w:r>
      <w:r>
        <w:rPr>
          <w:rFonts w:ascii="Times New Roman" w:cs="Times New Roman" w:eastAsia="Times New Roman" w:hAnsi="Times New Roman"/>
          <w:sz w:val="17"/>
          <w:szCs w:val="17"/>
          <w:color w:val="auto"/>
        </w:rPr>
        <w:t xml:space="preserve">” means any of the following: (a) any Subsidiary that is prohibited by (i) applicable requirements of law or (ii) any contractual obligation existing on the Issue Date or on the date any such Subsidiary is acquired (so long as such prohibition is not incurred in contemplation of such acquisition or for the purpose of circumventing the guaranty or security requirements hereof), in each case, so long as such contractual obligation prohibits such subsidiary from guaranteeing the obligations hereunder, (b) any Subsidiary which would require governmental (including regulatory) consent, approval, license or authorization to provide a Guarantee (unless such governmental consent, approval, license or authorization has been obtained), (c) any Subsidiary for which the provision of a Guarantee would result in a material adverse tax consequence to the Company and its Subsidiaries taken as a whole, as reasonably determined by the Company, (d) [reserved], (e) each Immaterial Subsidiary, (f) (i) any Material Foreign Subsidiary organized under the laws of France or China or (ii) after the Disposition Date, any Material Foreign Subsidiary or any Foreign Subsidiary Holding Company (or, in each case, any direct or indirect Subsidiary thereof) or (g) any bona fide not-for-profit Subsidiaries or captive insurance companies reasonably designated by the Company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determination or designation pursuant to clause (c) or (g) shall be evidenced by an Officer’s Certificate to the effect that the requirements of such clause are satisfied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that the Company, in its sole discretion may cause any Subsidiary that qualifies as an Excluded Subsidiary under clauses (e) or (f) above to become a Guarantor in accordance with the definition thereof and thereafter such Subsidiary shall not constitute an “Excluded Subsidiary”.</w:t>
      </w:r>
    </w:p>
    <w:p>
      <w:pPr>
        <w:spacing w:after="0" w:line="389"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Exempted Fundamental Change</w:t>
      </w:r>
      <w:r>
        <w:rPr>
          <w:rFonts w:ascii="Times New Roman" w:cs="Times New Roman" w:eastAsia="Times New Roman" w:hAnsi="Times New Roman"/>
          <w:sz w:val="17"/>
          <w:szCs w:val="17"/>
          <w:color w:val="auto"/>
        </w:rPr>
        <w:t xml:space="preserve">” means any Fundamental Change with respect to which, in accordance with </w:t>
      </w:r>
      <w:r>
        <w:rPr>
          <w:rFonts w:ascii="Times New Roman" w:cs="Times New Roman" w:eastAsia="Times New Roman" w:hAnsi="Times New Roman"/>
          <w:sz w:val="17"/>
          <w:szCs w:val="17"/>
          <w:b w:val="1"/>
          <w:bCs w:val="1"/>
          <w:color w:val="auto"/>
        </w:rPr>
        <w:t>Section 4.02(I)</w:t>
      </w:r>
      <w:r>
        <w:rPr>
          <w:rFonts w:ascii="Times New Roman" w:cs="Times New Roman" w:eastAsia="Times New Roman" w:hAnsi="Times New Roman"/>
          <w:sz w:val="17"/>
          <w:szCs w:val="17"/>
          <w:color w:val="auto"/>
        </w:rPr>
        <w:t>, the Company does not offer to repurchase any Notes.</w:t>
      </w:r>
    </w:p>
    <w:p>
      <w:pPr>
        <w:spacing w:after="0" w:line="14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Indenture</w:t>
      </w:r>
      <w:r>
        <w:rPr>
          <w:rFonts w:ascii="Times New Roman" w:cs="Times New Roman" w:eastAsia="Times New Roman" w:hAnsi="Times New Roman"/>
          <w:sz w:val="17"/>
          <w:szCs w:val="17"/>
          <w:color w:val="auto"/>
        </w:rPr>
        <w:t>” means the that certain Indenture, dated as of September 14, 2021, between the Company and U.S. Bank Trust Company, National Association (as successor in interest to U.S. Bank National Association), in its capacity as trustee.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Notes</w:t>
      </w:r>
      <w:r>
        <w:rPr>
          <w:rFonts w:ascii="Times New Roman" w:cs="Times New Roman" w:eastAsia="Times New Roman" w:hAnsi="Times New Roman"/>
          <w:sz w:val="17"/>
          <w:szCs w:val="17"/>
          <w:color w:val="auto"/>
        </w:rPr>
        <w:t>” means the Company’s 1.25% Convertible Senior Notes due 2026 issued pursuant to the Existing Indenture.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Foreign Subsidiary</w:t>
      </w:r>
      <w:r>
        <w:rPr>
          <w:rFonts w:ascii="Times New Roman" w:cs="Times New Roman" w:eastAsia="Times New Roman" w:hAnsi="Times New Roman"/>
          <w:sz w:val="17"/>
          <w:szCs w:val="17"/>
          <w:color w:val="auto"/>
        </w:rPr>
        <w:t>” means any Subsidiary which is not a Domestic Subsidiary.</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Foreign Subsidiary Holding Company</w:t>
      </w:r>
      <w:r>
        <w:rPr>
          <w:rFonts w:ascii="Times New Roman" w:cs="Times New Roman" w:eastAsia="Times New Roman" w:hAnsi="Times New Roman"/>
          <w:sz w:val="17"/>
          <w:szCs w:val="17"/>
          <w:color w:val="auto"/>
        </w:rPr>
        <w:t>” means any entity that has no material assets other than debt or equity of Foreign Subsidiaries.</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Freely Tradable</w:t>
      </w:r>
      <w:r>
        <w:rPr>
          <w:rFonts w:ascii="Times New Roman" w:cs="Times New Roman" w:eastAsia="Times New Roman" w:hAnsi="Times New Roman"/>
          <w:sz w:val="17"/>
          <w:szCs w:val="17"/>
          <w:color w:val="auto"/>
        </w:rPr>
        <w:t>” means, with respect to any security of the Company, that such security would be eligible to be offered, sold or otherwise transferred pursuant to Rule 144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Change</w:t>
      </w:r>
      <w:r>
        <w:rPr>
          <w:rFonts w:ascii="Times New Roman" w:cs="Times New Roman" w:eastAsia="Times New Roman" w:hAnsi="Times New Roman"/>
          <w:sz w:val="17"/>
          <w:szCs w:val="17"/>
          <w:color w:val="auto"/>
        </w:rPr>
        <w:t>” means any of the following events:</w:t>
      </w:r>
    </w:p>
    <w:p>
      <w:pPr>
        <w:spacing w:after="0" w:line="225" w:lineRule="exact"/>
        <w:rPr>
          <w:sz w:val="20"/>
          <w:szCs w:val="20"/>
          <w:color w:val="auto"/>
        </w:rPr>
      </w:pPr>
    </w:p>
    <w:p>
      <w:pPr>
        <w:jc w:val="both"/>
        <w:ind w:firstLine="633"/>
        <w:spacing w:after="0" w:line="273" w:lineRule="auto"/>
        <w:tabs>
          <w:tab w:leader="none" w:pos="12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Company’s Common Stock;</w:t>
      </w:r>
    </w:p>
    <w:p>
      <w:pPr>
        <w:spacing w:after="0" w:line="379" w:lineRule="exact"/>
        <w:rPr>
          <w:rFonts w:ascii="Times New Roman" w:cs="Times New Roman" w:eastAsia="Times New Roman" w:hAnsi="Times New Roman"/>
          <w:sz w:val="17"/>
          <w:szCs w:val="17"/>
          <w:color w:val="auto"/>
        </w:rPr>
      </w:pPr>
    </w:p>
    <w:p>
      <w:pPr>
        <w:jc w:val="both"/>
        <w:ind w:firstLine="633"/>
        <w:spacing w:after="0" w:line="261" w:lineRule="auto"/>
        <w:tabs>
          <w:tab w:leader="none" w:pos="12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(i) any sale, lease, license or other transfer, in one transaction or a series of transactions, of all or substantially all of the assets of the Company and its Subsidiaries, taken as a whole, to any Person, other than solely to one or more of the Company’s Wholly Owned Subsidiaries that is a Guarantor;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ind w:left="1260" w:hanging="62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stockholders approve any plan or proposal for the liquidation or dissolution of the Company; or</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ceases to be listed on any of The New York Stock Exchange, The NASDAQ Capital Market, The NASDAQ Global Market or The NASDAQ Global Select Market (or any of their respective successors);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 transaction or event described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above will not constitute a Fundamental Change if at least ninety percent (90%)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Capital Market,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75"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 xml:space="preserve">For the purposes of this definition, (x) any transaction or event described in both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and in </w:t>
      </w:r>
      <w:r>
        <w:rPr>
          <w:rFonts w:ascii="Times New Roman" w:cs="Times New Roman" w:eastAsia="Times New Roman" w:hAnsi="Times New Roman"/>
          <w:sz w:val="17"/>
          <w:szCs w:val="17"/>
          <w:b w:val="1"/>
          <w:bCs w:val="1"/>
          <w:color w:val="auto"/>
        </w:rPr>
        <w:t>clause (B)(i)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above (without regard to the proviso in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will be deemed to occur solely pursuant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above (subject to such proviso); and (y) whether a Person is a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whether shares are “</w:t>
      </w:r>
      <w:r>
        <w:rPr>
          <w:rFonts w:ascii="Times New Roman" w:cs="Times New Roman" w:eastAsia="Times New Roman" w:hAnsi="Times New Roman"/>
          <w:sz w:val="17"/>
          <w:szCs w:val="17"/>
          <w:b w:val="1"/>
          <w:bCs w:val="1"/>
          <w:color w:val="auto"/>
        </w:rPr>
        <w:t>beneficially owned</w:t>
      </w:r>
      <w:r>
        <w:rPr>
          <w:rFonts w:ascii="Times New Roman" w:cs="Times New Roman" w:eastAsia="Times New Roman" w:hAnsi="Times New Roman"/>
          <w:sz w:val="17"/>
          <w:szCs w:val="17"/>
          <w:color w:val="auto"/>
        </w:rPr>
        <w:t>,” and percentage beneficial ownership, will be determined in accordance with Rule 13d-3 under the Exchange Act.</w:t>
      </w:r>
    </w:p>
    <w:p>
      <w:pPr>
        <w:spacing w:after="0" w:line="160"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Change Repurchase Date</w:t>
      </w:r>
      <w:r>
        <w:rPr>
          <w:rFonts w:ascii="Times New Roman" w:cs="Times New Roman" w:eastAsia="Times New Roman" w:hAnsi="Times New Roman"/>
          <w:sz w:val="17"/>
          <w:szCs w:val="17"/>
          <w:color w:val="auto"/>
        </w:rPr>
        <w:t>” means the date fixed for the repurchase of any Notes by the Company pursuant to a Repurchase Upon Fundamental Change.</w:t>
      </w:r>
    </w:p>
    <w:p>
      <w:pPr>
        <w:spacing w:after="0" w:line="143" w:lineRule="exact"/>
        <w:rPr>
          <w:sz w:val="20"/>
          <w:szCs w:val="20"/>
          <w:color w:val="auto"/>
        </w:rPr>
      </w:pPr>
    </w:p>
    <w:p>
      <w:pPr>
        <w:jc w:val="both"/>
        <w:ind w:firstLine="62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Change Repurchase Notice</w:t>
      </w:r>
      <w:r>
        <w:rPr>
          <w:rFonts w:ascii="Times New Roman" w:cs="Times New Roman" w:eastAsia="Times New Roman" w:hAnsi="Times New Roman"/>
          <w:sz w:val="17"/>
          <w:szCs w:val="17"/>
          <w:color w:val="auto"/>
        </w:rPr>
        <w:t xml:space="preserve">” means a notice (including a notice substantially in the form of the “Fundamental Change Repurchase Notice”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containing the information, or otherwise complying with the requirements, set forth in </w:t>
      </w:r>
      <w:r>
        <w:rPr>
          <w:rFonts w:ascii="Times New Roman" w:cs="Times New Roman" w:eastAsia="Times New Roman" w:hAnsi="Times New Roman"/>
          <w:sz w:val="17"/>
          <w:szCs w:val="17"/>
          <w:b w:val="1"/>
          <w:bCs w:val="1"/>
          <w:color w:val="auto"/>
        </w:rPr>
        <w:t>Section 4.02(F)(i)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 4.02(F)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w:t>
      </w:r>
    </w:p>
    <w:p>
      <w:pPr>
        <w:spacing w:after="0" w:line="365"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Change Repurchase Price</w:t>
      </w:r>
      <w:r>
        <w:rPr>
          <w:rFonts w:ascii="Times New Roman" w:cs="Times New Roman" w:eastAsia="Times New Roman" w:hAnsi="Times New Roman"/>
          <w:sz w:val="17"/>
          <w:szCs w:val="17"/>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17"/>
          <w:szCs w:val="17"/>
          <w:b w:val="1"/>
          <w:bCs w:val="1"/>
          <w:color w:val="auto"/>
        </w:rPr>
        <w:t>Section 4.02(D)</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0"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Global Note</w:t>
      </w:r>
      <w:r>
        <w:rPr>
          <w:rFonts w:ascii="Times New Roman" w:cs="Times New Roman" w:eastAsia="Times New Roman" w:hAnsi="Times New Roman"/>
          <w:sz w:val="17"/>
          <w:szCs w:val="17"/>
          <w:color w:val="auto"/>
        </w:rPr>
        <w:t xml:space="preserve">” means a Note that is represented by a certificate substantially in 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registered in the name of the Depositary or its nominee, duly executed by the Company and authenticated by the Trustee, and deposited with the Trustee, as custodian for the Depositary.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Global Note Legend</w:t>
      </w:r>
      <w:r>
        <w:rPr>
          <w:rFonts w:ascii="Times New Roman" w:cs="Times New Roman" w:eastAsia="Times New Roman" w:hAnsi="Times New Roman"/>
          <w:sz w:val="17"/>
          <w:szCs w:val="17"/>
          <w:color w:val="auto"/>
        </w:rPr>
        <w:t xml:space="preserve">” means a legend substantially in the form set forth in </w:t>
      </w:r>
      <w:r>
        <w:rPr>
          <w:rFonts w:ascii="Times New Roman" w:cs="Times New Roman" w:eastAsia="Times New Roman" w:hAnsi="Times New Roman"/>
          <w:sz w:val="17"/>
          <w:szCs w:val="17"/>
          <w:b w:val="1"/>
          <w:bCs w:val="1"/>
          <w:color w:val="auto"/>
        </w:rPr>
        <w:t>Exhibit B-2</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xml:space="preserve">” means the guarantee by each Guarantor of the Company’s obligations under this Indenture and the Notes pursuant to </w:t>
      </w:r>
      <w:r>
        <w:rPr>
          <w:rFonts w:ascii="Times New Roman" w:cs="Times New Roman" w:eastAsia="Times New Roman" w:hAnsi="Times New Roman"/>
          <w:sz w:val="17"/>
          <w:szCs w:val="17"/>
          <w:b w:val="1"/>
          <w:bCs w:val="1"/>
          <w:color w:val="auto"/>
        </w:rPr>
        <w:t>Article 11</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xml:space="preserve">” means collectively, each Subsidiary that is not an Excluded Subsidiary that executes this Indenture as a Guarantor on the Issue Date and each other Subsidiary that is not an Excluded Subsidiary that incurs a Guarantee;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upon the release or discharge of such Person from its Guarantee in accordance with the terms of this Indenture, such Subsidiary automatically ceases to be a Guarantor.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means a person in whose name a Note is registered on the Registrar’s books.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9" w:name="page50"/>
    <w:bookmarkEnd w:id="49"/>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Hostile Acquisition</w:t>
      </w:r>
      <w:r>
        <w:rPr>
          <w:rFonts w:ascii="Times New Roman" w:cs="Times New Roman" w:eastAsia="Times New Roman" w:hAnsi="Times New Roman"/>
          <w:sz w:val="17"/>
          <w:szCs w:val="17"/>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Immaterial Subsidiary</w:t>
      </w:r>
      <w:r>
        <w:rPr>
          <w:rFonts w:ascii="Times New Roman" w:cs="Times New Roman" w:eastAsia="Times New Roman" w:hAnsi="Times New Roman"/>
          <w:sz w:val="17"/>
          <w:szCs w:val="17"/>
          <w:color w:val="auto"/>
        </w:rPr>
        <w:t>” means any Subsidiary of the Company that is not a Material Subsidiary.</w:t>
      </w:r>
    </w:p>
    <w:p>
      <w:pPr>
        <w:spacing w:after="0" w:line="223"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of any Person means, without duplication, (a) all obligations of such Person for borrowed money, (b) all obligations of such Person evidenced by bonds, debentures, notes or similar instruments, (c) [reserved],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and excluding earn-outs which are separately addressed in clause (k) below),</w:t>
      </w:r>
    </w:p>
    <w:p>
      <w:pPr>
        <w:spacing w:after="0" w:line="1" w:lineRule="exact"/>
        <w:rPr>
          <w:sz w:val="20"/>
          <w:szCs w:val="20"/>
          <w:color w:val="auto"/>
        </w:rPr>
      </w:pPr>
    </w:p>
    <w:p>
      <w:pPr>
        <w:jc w:val="both"/>
        <w:ind w:firstLine="5"/>
        <w:spacing w:after="0" w:line="257" w:lineRule="auto"/>
        <w:tabs>
          <w:tab w:leader="none" w:pos="22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under any earn-out that has been actually achieved and is due and owing (including Earn-outs) solely to the extent required to be reflected as a liability on the consolidated balance sheet of such Person and its subsidiaries in accordance with GAAP, (l) any other Off-Balance Sheet Liability,</w:t>
      </w:r>
    </w:p>
    <w:p>
      <w:pPr>
        <w:jc w:val="both"/>
        <w:ind w:firstLine="5"/>
        <w:spacing w:after="0" w:line="257" w:lineRule="auto"/>
        <w:tabs>
          <w:tab w:leader="none" w:pos="30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whether absolute or contingent and howsoever and whensoever created, arising, evidenced or acquired (including all renewals, extensions and modifications thereof and substitutions therefor), under (i) any and all Swap Agreements determined by reference to the swap termination value thereof and</w:t>
      </w:r>
    </w:p>
    <w:p>
      <w:pPr>
        <w:jc w:val="both"/>
        <w:ind w:firstLine="5"/>
        <w:spacing w:after="0" w:line="258" w:lineRule="auto"/>
        <w:tabs>
          <w:tab w:leader="none" w:pos="25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cancellations, buy backs, reversals, terminations or assignments of any Swap Agreement transaction and (n) obligations in respect of Disqualified Equity Interests. The amount of any net obligation under any Swap Agreement on any date shall be deemed to be the Swap Termination Value thereof as of such date.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anything to the contrary set forth herein, in no event shall the following constitute Indebtedness: (i) accruals that are not overdue by more than sixty (60) days for (A) payroll, (B) other non-interest bearing liabilities not constituting debt for borrowed money, accrued in the ordinary course of business and (C) customary revenue and sales based royalties in connection with the sale of any product, accrued in the ordinary course of business (and in any event excluding any upfront, milestone or similar payment), (ii) purchase price holdbacks in respect of a portion of the purchase price of an asset to satisfy warrants or other unperformed obligations of the seller of such asset, (iii) trade accounts payable which are not more than 60 days past due or being contested in good faith, deferred revenues, liabilities associated with customer prepayments and deposits and other accrued obligations (including transfer pricing arrangements and accruals for payroll and other operating expenses accrued in the ordinary course of business), in each case incurred in the ordinary course of business, (iv) operating leases pursuant to GAAP in effect as of the Issue Date, (v) customary obligations under employment agreements and deferred compensation and (vi) prepaid or deferred revenue and deferred tax liabilities.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means this Indenture, as amended or supplemented from time to time.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has the meaning specified in the Security Agreement.</w:t>
      </w:r>
    </w:p>
    <w:p>
      <w:pPr>
        <w:spacing w:after="0" w:line="22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Payment Date</w:t>
      </w:r>
      <w:r>
        <w:rPr>
          <w:rFonts w:ascii="Times New Roman" w:cs="Times New Roman" w:eastAsia="Times New Roman" w:hAnsi="Times New Roman"/>
          <w:sz w:val="17"/>
          <w:szCs w:val="17"/>
          <w:color w:val="auto"/>
        </w:rPr>
        <w:t>” means, with respect to a Note, each May 15 and November 15 of each year, commencing on November 15, 2025 (or commencing on such other date specified in the certificate representing such Note). For the avoidance of doubt, the Maturity Date is an Interest Payment Date.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w:t>
      </w:r>
      <w:r>
        <w:rPr>
          <w:rFonts w:ascii="Times New Roman" w:cs="Times New Roman" w:eastAsia="Times New Roman" w:hAnsi="Times New Roman"/>
          <w:sz w:val="17"/>
          <w:szCs w:val="17"/>
          <w:color w:val="auto"/>
        </w:rPr>
        <w:t>” means, as to any Person,</w:t>
      </w:r>
    </w:p>
    <w:p>
      <w:pPr>
        <w:spacing w:after="0" w:line="225" w:lineRule="exact"/>
        <w:rPr>
          <w:sz w:val="20"/>
          <w:szCs w:val="20"/>
          <w:color w:val="auto"/>
        </w:rPr>
      </w:pPr>
    </w:p>
    <w:p>
      <w:pPr>
        <w:ind w:left="640" w:firstLine="621"/>
        <w:spacing w:after="0" w:line="296" w:lineRule="auto"/>
        <w:tabs>
          <w:tab w:leader="none" w:pos="18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or other acquisition by such Person (including by merger or otherwise) of equity interests or debt or other securities (including any option or warrant) of another Person;</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70" w:lineRule="auto"/>
        <w:tabs>
          <w:tab w:leader="none" w:pos="18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loan, advance or capital contribution by such Person to, Guarantee or assumption of Indebtedness by such Person of, or purchase or other acquisition by such Person of any other debt or any equity participation or equity interest in, another Person, including any partnership or joint venture interest in such other Person, but excluding any loans and advances made by Note Parties having a term not exceeding 364 days (inclusive of any roll over or extension of terms); or</w:t>
      </w:r>
    </w:p>
    <w:p>
      <w:pPr>
        <w:spacing w:after="0" w:line="167" w:lineRule="exact"/>
        <w:rPr>
          <w:rFonts w:ascii="Times New Roman" w:cs="Times New Roman" w:eastAsia="Times New Roman" w:hAnsi="Times New Roman"/>
          <w:sz w:val="17"/>
          <w:szCs w:val="17"/>
          <w:color w:val="auto"/>
        </w:rPr>
      </w:pPr>
    </w:p>
    <w:p>
      <w:pPr>
        <w:jc w:val="both"/>
        <w:ind w:left="640" w:firstLine="621"/>
        <w:spacing w:after="0" w:line="270" w:lineRule="auto"/>
        <w:tabs>
          <w:tab w:leader="none" w:pos="18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in-licensing or other acquisition by such Person (in one transaction or a series of transactions, whether through purchase of assets, in-licensing, merger or otherwise) of all or substantially all of the property and assets or business of another Person or assets constituting a business unit, line of business or division or all or substantially all rights to a product or intellectual property constituting a product (including with respect to a particular region or territory) of another Person.</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Issue Date</w:t>
      </w:r>
      <w:r>
        <w:rPr>
          <w:rFonts w:ascii="Times New Roman" w:cs="Times New Roman" w:eastAsia="Times New Roman" w:hAnsi="Times New Roman"/>
          <w:sz w:val="17"/>
          <w:szCs w:val="17"/>
          <w:color w:val="auto"/>
        </w:rPr>
        <w:t>” means May 27, 2025.</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Venture</w:t>
      </w:r>
      <w:r>
        <w:rPr>
          <w:rFonts w:ascii="Times New Roman" w:cs="Times New Roman" w:eastAsia="Times New Roman" w:hAnsi="Times New Roman"/>
          <w:sz w:val="17"/>
          <w:szCs w:val="17"/>
          <w:color w:val="auto"/>
        </w:rPr>
        <w:t>” means any Person in whom the Company or any of the Subsidiaries beneficially owns any equity interest that is not a Subsidiary.</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Last Original Issue Date</w:t>
      </w:r>
      <w:r>
        <w:rPr>
          <w:rFonts w:ascii="Times New Roman" w:cs="Times New Roman" w:eastAsia="Times New Roman" w:hAnsi="Times New Roman"/>
          <w:sz w:val="17"/>
          <w:szCs w:val="17"/>
          <w:color w:val="auto"/>
        </w:rPr>
        <w:t xml:space="preserve">” means (A) with respect to any Notes issued pursuant to the Exchange Agreements, and any Notes issued in exchange therefor or in substitution thereof, the Issue Date; and (B) with respect to any Notes issued pursuant to </w:t>
      </w:r>
      <w:r>
        <w:rPr>
          <w:rFonts w:ascii="Times New Roman" w:cs="Times New Roman" w:eastAsia="Times New Roman" w:hAnsi="Times New Roman"/>
          <w:sz w:val="17"/>
          <w:szCs w:val="17"/>
          <w:b w:val="1"/>
          <w:bCs w:val="1"/>
          <w:color w:val="auto"/>
        </w:rPr>
        <w:t>Section 2.03(B)</w:t>
      </w:r>
      <w:r>
        <w:rPr>
          <w:rFonts w:ascii="Times New Roman" w:cs="Times New Roman" w:eastAsia="Times New Roman" w:hAnsi="Times New Roman"/>
          <w:sz w:val="17"/>
          <w:szCs w:val="17"/>
          <w:color w:val="auto"/>
        </w:rPr>
        <w:t>, and any Notes issued in exchange therefor or in substitution thereof, either (i) the date such Notes are originally issued; or (ii) such other date as is specified in an Officer’s Certificate delivered to the Trustee before the original issuance of such Notes.</w:t>
      </w:r>
    </w:p>
    <w:p>
      <w:pPr>
        <w:spacing w:after="0" w:line="167"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Last Reported Sale Price</w:t>
      </w:r>
      <w:r>
        <w:rPr>
          <w:rFonts w:ascii="Times New Roman" w:cs="Times New Roman" w:eastAsia="Times New Roman" w:hAnsi="Times New Roman"/>
          <w:sz w:val="17"/>
          <w:szCs w:val="17"/>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Neither the Trustee nor the Conversion Agent will have any duty to determine the Last Reported Sale Price.</w:t>
      </w:r>
    </w:p>
    <w:p>
      <w:pPr>
        <w:spacing w:after="0" w:line="177"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Liability Management Transaction</w:t>
      </w:r>
      <w:r>
        <w:rPr>
          <w:rFonts w:ascii="Times New Roman" w:cs="Times New Roman" w:eastAsia="Times New Roman" w:hAnsi="Times New Roman"/>
          <w:sz w:val="17"/>
          <w:szCs w:val="17"/>
          <w:color w:val="auto"/>
        </w:rPr>
        <w:t>” shall mean any refinancing, retirement, exchange, extension, amendment, repurchase, replacement, or defeasance of any existing Indebtedness of the Borrower or any Subsidiary (including the Notes) with any other Indebtedness, Capital Stock (or the proceeds of any other Indebtedness, Capital Stock) that is/are contractually, structurally or temporally senior (i.e., having a shorter maturity than the debt being refinanced) (including as to Lien priority with respect to any collateral, or by means of additional collateral or additional guarantors, obligors or other credit support) to any of the Notes (including, for the avoidance of doubt, through any incurrence of Indebtedness or the sale of, Capital Stock by a Person that is not a Note Party, whether or not such Person owns any assets or property).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1" w:name="page52"/>
    <w:bookmarkEnd w:id="51"/>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w:t>
      </w:r>
      <w:r>
        <w:rPr>
          <w:rFonts w:ascii="Times New Roman" w:cs="Times New Roman" w:eastAsia="Times New Roman" w:hAnsi="Times New Roman"/>
          <w:sz w:val="17"/>
          <w:szCs w:val="17"/>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67"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Fundamental Change</w:t>
      </w:r>
      <w:r>
        <w:rPr>
          <w:rFonts w:ascii="Times New Roman" w:cs="Times New Roman" w:eastAsia="Times New Roman" w:hAnsi="Times New Roman"/>
          <w:sz w:val="17"/>
          <w:szCs w:val="17"/>
          <w:color w:val="auto"/>
        </w:rPr>
        <w:t xml:space="preserve">” means (A) a Fundamental Change (determined after giving effect to the proviso immediately after </w:t>
      </w:r>
      <w:r>
        <w:rPr>
          <w:rFonts w:ascii="Times New Roman" w:cs="Times New Roman" w:eastAsia="Times New Roman" w:hAnsi="Times New Roman"/>
          <w:sz w:val="17"/>
          <w:szCs w:val="17"/>
          <w:b w:val="1"/>
          <w:bCs w:val="1"/>
          <w:color w:val="auto"/>
        </w:rPr>
        <w:t>clause (D)</w:t>
      </w:r>
      <w:r>
        <w:rPr>
          <w:rFonts w:ascii="Times New Roman" w:cs="Times New Roman" w:eastAsia="Times New Roman" w:hAnsi="Times New Roman"/>
          <w:sz w:val="17"/>
          <w:szCs w:val="17"/>
          <w:color w:val="auto"/>
        </w:rPr>
        <w:t xml:space="preserve"> of the definition thereof, but without regard to the proviso to </w:t>
      </w:r>
      <w:r>
        <w:rPr>
          <w:rFonts w:ascii="Times New Roman" w:cs="Times New Roman" w:eastAsia="Times New Roman" w:hAnsi="Times New Roman"/>
          <w:sz w:val="17"/>
          <w:szCs w:val="17"/>
          <w:b w:val="1"/>
          <w:bCs w:val="1"/>
          <w:color w:val="auto"/>
        </w:rPr>
        <w:t>clause (B)(ii)</w:t>
      </w:r>
      <w:r>
        <w:rPr>
          <w:rFonts w:ascii="Times New Roman" w:cs="Times New Roman" w:eastAsia="Times New Roman" w:hAnsi="Times New Roman"/>
          <w:sz w:val="17"/>
          <w:szCs w:val="17"/>
          <w:color w:val="auto"/>
        </w:rPr>
        <w:t xml:space="preserve"> of such definition); or (B) the sending of a Redemption Notice pursuant to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4.03(F)</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subject to</w:t>
      </w:r>
      <w:r>
        <w:rPr>
          <w:rFonts w:ascii="Times New Roman" w:cs="Times New Roman" w:eastAsia="Times New Roman" w:hAnsi="Times New Roman"/>
          <w:sz w:val="17"/>
          <w:szCs w:val="17"/>
          <w:b w:val="1"/>
          <w:bCs w:val="1"/>
          <w:color w:val="auto"/>
        </w:rPr>
        <w:t xml:space="preserve"> Section 4.03(I)</w:t>
      </w:r>
      <w:r>
        <w:rPr>
          <w:rFonts w:ascii="Times New Roman" w:cs="Times New Roman" w:eastAsia="Times New Roman" w:hAnsi="Times New Roman"/>
          <w:sz w:val="17"/>
          <w:szCs w:val="17"/>
          <w:color w:val="auto"/>
        </w:rPr>
        <w:t>, the sending of a Redemption Notice will constitute a Make-Whole Fundamental Change only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the Notes called for Redemption pursuant to such Redemption Notice and not with respect to any other Notes.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Fundamental Change Conversion Period</w:t>
      </w:r>
      <w:r>
        <w:rPr>
          <w:rFonts w:ascii="Times New Roman" w:cs="Times New Roman" w:eastAsia="Times New Roman" w:hAnsi="Times New Roman"/>
          <w:sz w:val="17"/>
          <w:szCs w:val="17"/>
          <w:color w:val="auto"/>
        </w:rPr>
        <w:t>” has the following meaning:</w:t>
      </w:r>
    </w:p>
    <w:p>
      <w:pPr>
        <w:spacing w:after="0" w:line="223" w:lineRule="exact"/>
        <w:rPr>
          <w:sz w:val="20"/>
          <w:szCs w:val="20"/>
          <w:color w:val="auto"/>
        </w:rPr>
      </w:pPr>
    </w:p>
    <w:p>
      <w:pPr>
        <w:jc w:val="both"/>
        <w:ind w:firstLine="633"/>
        <w:spacing w:after="0" w:line="265" w:lineRule="auto"/>
        <w:tabs>
          <w:tab w:leader="none" w:pos="125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Make-Whole Fundamental Change pursuant to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of the definition thereof, the period from, and including, the Make-Whole Fundamental Change Effective Date of such Make-Whole Fundamental Change to, and including, the seventieth (70th) Trading Day (or, in the case of a Make-Whole Fundamental Change resulting from a transaction or a series of related transactions comprising such Make-Whole Fundamental Change where all of the shares of Common Stock are converted into, or are exchanged for, or represent solely the right to receive, cash, the thirty-fifth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0"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Make-Whole Fundamental Change pursuant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of the definition thereof, the period from, and including, the Redemption Notice Date for the related Redemption to, and including, the Business Day immediately before the related Redemption Date;</w:t>
      </w:r>
    </w:p>
    <w:p>
      <w:pPr>
        <w:spacing w:after="0" w:line="14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the Conversion Date for the conversion of a Note that has been called (or deemed,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4.03(I)</w:t>
      </w:r>
      <w:r>
        <w:rPr>
          <w:rFonts w:ascii="Times New Roman" w:cs="Times New Roman" w:eastAsia="Times New Roman" w:hAnsi="Times New Roman"/>
          <w:sz w:val="17"/>
          <w:szCs w:val="17"/>
          <w:color w:val="auto"/>
        </w:rPr>
        <w:t>, to be called)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Redemption occurs during the Make-Whole Fundamental Change Conversion Period for both a Make-Whole Fundamental Change occurring pursuant to </w:t>
      </w:r>
      <w:r>
        <w:rPr>
          <w:rFonts w:ascii="Times New Roman" w:cs="Times New Roman" w:eastAsia="Times New Roman" w:hAnsi="Times New Roman"/>
          <w:sz w:val="17"/>
          <w:szCs w:val="17"/>
          <w:b w:val="1"/>
          <w:bCs w:val="1"/>
          <w:color w:val="auto"/>
        </w:rPr>
        <w:t>clause</w:t>
      </w:r>
    </w:p>
    <w:p>
      <w:pPr>
        <w:spacing w:after="0" w:line="1" w:lineRule="exact"/>
        <w:rPr>
          <w:sz w:val="20"/>
          <w:szCs w:val="20"/>
          <w:color w:val="auto"/>
        </w:rPr>
      </w:pPr>
    </w:p>
    <w:p>
      <w:pPr>
        <w:jc w:val="both"/>
        <w:ind w:firstLine="5"/>
        <w:spacing w:after="0" w:line="261" w:lineRule="auto"/>
        <w:tabs>
          <w:tab w:leader="none" w:pos="295"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of the definition of “Make-Whole Fundamental Change” and a Make-Whole Fundamental Change resulting from such Redemption pursuant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of such definition, then, notwithstanding anything to the contrary in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7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Fundamental Change Effective Date</w:t>
      </w:r>
      <w:r>
        <w:rPr>
          <w:rFonts w:ascii="Times New Roman" w:cs="Times New Roman" w:eastAsia="Times New Roman" w:hAnsi="Times New Roman"/>
          <w:sz w:val="17"/>
          <w:szCs w:val="17"/>
          <w:color w:val="auto"/>
        </w:rPr>
        <w:t xml:space="preserve">” means (A) with respect to a Make-Whole Fundamental Change pursuant to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of the definition thereof, the applicable Redemption Notice Date.</w:t>
      </w:r>
    </w:p>
    <w:p>
      <w:pPr>
        <w:spacing w:after="0" w:line="160"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Disruption Event</w:t>
      </w:r>
      <w:r>
        <w:rPr>
          <w:rFonts w:ascii="Times New Roman" w:cs="Times New Roman" w:eastAsia="Times New Roman" w:hAnsi="Times New Roman"/>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2" w:name="page53"/>
    <w:bookmarkEnd w:id="52"/>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 material adverse effect on (a) the business, assets, operations or financial condition of the Company and its Subsidiaries, taken as a whole, (b) the ability of the Note Parties, taken as a whole, to perform any of their payment Obligations when due, (c) the Collateral (taken as a whole), or the Collateral Agent’s Liens (on behalf of itself and the other Secured Parties) on such Collateral or the priority of such Liens, or (d) the validity or enforceability of this Indenture or any and all other Note Documents or the rights of or benefits available to the Trustee, the Collateral Agent or the Holders under any of the Note Documents.</w:t>
      </w:r>
    </w:p>
    <w:p>
      <w:pPr>
        <w:spacing w:after="0" w:line="169"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Asset</w:t>
      </w:r>
      <w:r>
        <w:rPr>
          <w:rFonts w:ascii="Times New Roman" w:cs="Times New Roman" w:eastAsia="Times New Roman" w:hAnsi="Times New Roman"/>
          <w:sz w:val="17"/>
          <w:szCs w:val="17"/>
          <w:color w:val="auto"/>
        </w:rPr>
        <w:t>” means any property, business or asset in each case that is of material value or that is material to the operation of the business of the Company and its Subsidiaries, taken as a whole. For the avoidance of doubt, Material Asset shall include Material Intellectual Property.</w:t>
      </w:r>
    </w:p>
    <w:p>
      <w:pPr>
        <w:spacing w:after="0" w:line="143"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Domestic Subsidiary</w:t>
      </w:r>
      <w:r>
        <w:rPr>
          <w:rFonts w:ascii="Times New Roman" w:cs="Times New Roman" w:eastAsia="Times New Roman" w:hAnsi="Times New Roman"/>
          <w:sz w:val="17"/>
          <w:szCs w:val="17"/>
          <w:color w:val="auto"/>
        </w:rPr>
        <w:t xml:space="preserve">” means each Domestic Subsidiary (i) which, as of the most recent fiscal quarter of the Company, for the period of four consecutive fiscal quarters then ended, contributed greater than five percent (5%) of Consolidated EBITDA for such period, (ii) which contributed greater than five percent (5%) of Consolidated Total Assets as of such date or (iii) which owns or holds any rights to any Material Assets;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any time the aggregate amount of Consolidated EBITDA or Consolidated Total Assets attributable to all Domestic Subsidiaries that are not Material Domestic Subsidiaries exceeds five percent (5%) of Consolidated EBITDA for any such period or five percent (5%) of Consolidated Total Assets as of the end of any such fiscal quarter, the Company (or, in the event the Company has failed to do so within ten (10) days, the Required Holders) shall designate sufficient Domestic Subsidiaries as “Material Domestic Subsidiaries” to eliminate such excess, and such designated Subsidiaries shall for all purposes of this Indenture constitute Material Domestic Subsidiaries.</w:t>
      </w:r>
    </w:p>
    <w:p>
      <w:pPr>
        <w:spacing w:after="0" w:line="384"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Foreign Subsidiary</w:t>
      </w:r>
      <w:r>
        <w:rPr>
          <w:rFonts w:ascii="Times New Roman" w:cs="Times New Roman" w:eastAsia="Times New Roman" w:hAnsi="Times New Roman"/>
          <w:sz w:val="17"/>
          <w:szCs w:val="17"/>
          <w:color w:val="auto"/>
        </w:rPr>
        <w:t>” means each Foreign Subsidiary, subject to Section 3.36, (i) which, as of the most recent fiscal quarter of the Company, for the period of four consecutive fiscal quarters then ended, contributed greater than ten percent (10%) of consolidated net revenue of the Company and its Subsidiaries, calculated for such period or (ii) which owns or holds any title, interests or rights in any Material Assets; provided that, if at any time the aggregate amount of consolidated net revenue attributable to all Foreign Subsidiaries that are not Material Foreign Subsidiaries exceeds twenty percent (20%) of consolidated net revenue of the Company and its Subsidiaries for any such period, the Company (or, in the event the Company has failed to do so within ten (10) Business Days, the Required Holders) shall designate sufficient Foreign Subsidiaries as “Material Foreign Subsidiaries” to eliminate such excess, and such designated Subsidiaries shall for all purposes of this Indenture constitute Material Foreign Subsidiaries.</w:t>
      </w:r>
    </w:p>
    <w:p>
      <w:pPr>
        <w:spacing w:after="0" w:line="175"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Intellectual Property</w:t>
      </w:r>
      <w:r>
        <w:rPr>
          <w:rFonts w:ascii="Times New Roman" w:cs="Times New Roman" w:eastAsia="Times New Roman" w:hAnsi="Times New Roman"/>
          <w:sz w:val="17"/>
          <w:szCs w:val="17"/>
          <w:color w:val="auto"/>
        </w:rPr>
        <w:t>” means Intellectual Property, whether currently owned by (or purported to be owned by) or subject to an in-license, covenant not to sue or similar right (or purported to be subject to an in-license, covenant not to sue or similar right) for the benefit of the Company or any of its Subsidiaries, or acquired, developed or obtained by or otherwise in-licensed to the Company or any of its Subsidiaries after the Issue Date that is, in each case, material to any current, planned or anticipated business of the Company or any of its Subsidiaries. Material Intellectual Property includes, without limitation, all Intellectual Property that is material to and used in connection with or necessary for HydraFacial LLC’s current and contemplated technology platform. Items of Material Intellectual Property may from time to time no longer be characterized by the Company and its Subsidiaries as Material Intellectual Property if the Company and its Subsidiary reasonably and in good faith believe such items to no longer warrant such characterization and discontinuing such characterization would not reasonably be expected to interfere in any material respect with the ordinary conduct of business of the Company or any Subsidiary.</w:t>
      </w:r>
    </w:p>
    <w:p>
      <w:pPr>
        <w:spacing w:after="0" w:line="177" w:lineRule="exact"/>
        <w:rPr>
          <w:sz w:val="20"/>
          <w:szCs w:val="20"/>
          <w:color w:val="auto"/>
        </w:rPr>
      </w:pPr>
    </w:p>
    <w:p>
      <w:pPr>
        <w:jc w:val="both"/>
        <w:ind w:firstLine="62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Real Property</w:t>
      </w:r>
      <w:r>
        <w:rPr>
          <w:rFonts w:ascii="Times New Roman" w:cs="Times New Roman" w:eastAsia="Times New Roman" w:hAnsi="Times New Roman"/>
          <w:sz w:val="17"/>
          <w:szCs w:val="17"/>
          <w:color w:val="auto"/>
        </w:rPr>
        <w:t>” means any fee owned real property located in the United States that is owned by the Company or any Guarantor with a fair market value in excess of $10,000,000 (at the Issue Date or, with respect to real property acquired (or owned by a Person that becomes the Company or a Guarantor) after the Issue Date, at the time of acquisition or, in each case, on any subsequent date, in each case, as reasonably estimated by the Company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Subsidiary</w:t>
      </w:r>
      <w:r>
        <w:rPr>
          <w:rFonts w:ascii="Times New Roman" w:cs="Times New Roman" w:eastAsia="Times New Roman" w:hAnsi="Times New Roman"/>
          <w:sz w:val="17"/>
          <w:szCs w:val="17"/>
          <w:color w:val="auto"/>
        </w:rPr>
        <w:t>” means each Material Domestic Subsidiary and each Material Foreign Subsidiary.</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Maturity Date</w:t>
      </w:r>
      <w:r>
        <w:rPr>
          <w:rFonts w:ascii="Times New Roman" w:cs="Times New Roman" w:eastAsia="Times New Roman" w:hAnsi="Times New Roman"/>
          <w:sz w:val="17"/>
          <w:szCs w:val="17"/>
          <w:color w:val="auto"/>
        </w:rPr>
        <w:t>” means November 15, 2028.</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mean, collectively, the mortgages, trust deeds, deeds of trust, deeds to secure debt, assignments of leases and rents, and other security documents (including amendments to any of the foregoing) delivered with respect to Material Real Properties, in a reasonable and customary form sufficient to create a security interest in, and a mortgage on, the applicable Material Real Property in favor of the Collateral Agent, for the benefit of the Secured Parties, under the law of the applicable jurisdiction and suitable for recording in such jurisdiction.</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Non-Affiliate Legend</w:t>
      </w:r>
      <w:r>
        <w:rPr>
          <w:rFonts w:ascii="Times New Roman" w:cs="Times New Roman" w:eastAsia="Times New Roman" w:hAnsi="Times New Roman"/>
          <w:sz w:val="17"/>
          <w:szCs w:val="17"/>
          <w:color w:val="auto"/>
        </w:rPr>
        <w:t xml:space="preserve">” means a legend substantially in the form set forth in </w:t>
      </w:r>
      <w:r>
        <w:rPr>
          <w:rFonts w:ascii="Times New Roman" w:cs="Times New Roman" w:eastAsia="Times New Roman" w:hAnsi="Times New Roman"/>
          <w:sz w:val="17"/>
          <w:szCs w:val="17"/>
          <w:b w:val="1"/>
          <w:bCs w:val="1"/>
          <w:color w:val="auto"/>
        </w:rPr>
        <w:t>Exhibit B-3</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Note Agent</w:t>
      </w:r>
      <w:r>
        <w:rPr>
          <w:rFonts w:ascii="Times New Roman" w:cs="Times New Roman" w:eastAsia="Times New Roman" w:hAnsi="Times New Roman"/>
          <w:sz w:val="17"/>
          <w:szCs w:val="17"/>
          <w:color w:val="auto"/>
        </w:rPr>
        <w:t>” means any Collateral Agent, Registrar, Paying Agent or Conversion Agent.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Note Party</w:t>
      </w:r>
      <w:r>
        <w:rPr>
          <w:rFonts w:ascii="Times New Roman" w:cs="Times New Roman" w:eastAsia="Times New Roman" w:hAnsi="Times New Roman"/>
          <w:sz w:val="17"/>
          <w:szCs w:val="17"/>
          <w:color w:val="auto"/>
        </w:rPr>
        <w:t>” means the Company and the Guarantors.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Note Documents</w:t>
      </w:r>
      <w:r>
        <w:rPr>
          <w:rFonts w:ascii="Times New Roman" w:cs="Times New Roman" w:eastAsia="Times New Roman" w:hAnsi="Times New Roman"/>
          <w:sz w:val="17"/>
          <w:szCs w:val="17"/>
          <w:color w:val="auto"/>
        </w:rPr>
        <w:t>” shall mean this Indenture, the Notes, the Guarantees and the Collateral Documents.</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Note Obligations</w:t>
      </w:r>
      <w:r>
        <w:rPr>
          <w:rFonts w:ascii="Times New Roman" w:cs="Times New Roman" w:eastAsia="Times New Roman" w:hAnsi="Times New Roman"/>
          <w:sz w:val="17"/>
          <w:szCs w:val="17"/>
          <w:color w:val="auto"/>
        </w:rPr>
        <w:t>” shall mean all Obligations of the Company or any of the Guarantors owing to any Secured Party, in each case in respect of the Notes or arising under any Note Document.</w:t>
      </w:r>
    </w:p>
    <w:p>
      <w:pPr>
        <w:spacing w:after="0" w:line="143" w:lineRule="exact"/>
        <w:rPr>
          <w:sz w:val="20"/>
          <w:szCs w:val="20"/>
          <w:color w:val="auto"/>
        </w:rPr>
      </w:pPr>
    </w:p>
    <w:p>
      <w:pPr>
        <w:jc w:val="both"/>
        <w:ind w:firstLine="62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means the 7.95% Convertible Senior Secured Notes due 2028 (including any Additional Notes) issued by the Company pursuant to this Indenture.</w:t>
      </w:r>
    </w:p>
    <w:p>
      <w:pPr>
        <w:spacing w:after="0" w:line="200" w:lineRule="exact"/>
        <w:rPr>
          <w:sz w:val="20"/>
          <w:szCs w:val="20"/>
          <w:color w:val="auto"/>
        </w:rPr>
      </w:pPr>
    </w:p>
    <w:p>
      <w:pPr>
        <w:spacing w:after="0" w:line="209"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means any principal, interest, premium, penalties, fees, expenses, costs, indemnifications, reimbursements, damages, liabilities and other obligations (monetary or otherwise) under the documentation governing any Indebtedness (including, without limitation, (i) any amounts or other consideration due upon conversion of such Indebtedness and (ii) any interest, costs, fees, expenses, indemnities and other amounts accruing subsequent to the filing of a petition in an insolvency or liquidation proceeding or similar proceeding, whether or not such amounts are an allowed claim under applicable state, federal or foreign law), in each case howsoever created, arising or evidenced, whether direct or indirect (including those acquired by assignment), absolute or contingent, now or hereafter existing, or due or to become due.</w:t>
      </w:r>
    </w:p>
    <w:p>
      <w:pPr>
        <w:spacing w:after="0" w:line="170"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Observation Period</w:t>
      </w:r>
      <w:r>
        <w:rPr>
          <w:rFonts w:ascii="Times New Roman" w:cs="Times New Roman" w:eastAsia="Times New Roman" w:hAnsi="Times New Roman"/>
          <w:sz w:val="17"/>
          <w:szCs w:val="17"/>
          <w:color w:val="auto"/>
        </w:rPr>
        <w:t xml:space="preserve">” means, with respect to any Note to be converted, (A) subject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below, if the Conversion Date for such Note occurs on or before the forty-first (41st) Scheduled Trading Day immediately before the Maturity, the forty (40) consecutive VWAP Trading Days beginning on, and including, the third (3rd) VWAP Trading Day immediately after such Conversion Date; (B) if such Conversion Date occurs on or after the date the Company has sent a Redemption Notice calling such Note for Redemption pursuant to </w:t>
      </w:r>
      <w:r>
        <w:rPr>
          <w:rFonts w:ascii="Times New Roman" w:cs="Times New Roman" w:eastAsia="Times New Roman" w:hAnsi="Times New Roman"/>
          <w:sz w:val="17"/>
          <w:szCs w:val="17"/>
          <w:b w:val="1"/>
          <w:bCs w:val="1"/>
          <w:color w:val="auto"/>
        </w:rPr>
        <w:t>Section 4.03(F)</w:t>
      </w:r>
      <w:r>
        <w:rPr>
          <w:rFonts w:ascii="Times New Roman" w:cs="Times New Roman" w:eastAsia="Times New Roman" w:hAnsi="Times New Roman"/>
          <w:sz w:val="17"/>
          <w:szCs w:val="17"/>
          <w:color w:val="auto"/>
        </w:rPr>
        <w:t xml:space="preserve"> and before the Business Day immediately prior to the related Redemption Date, the forty (40) consecutive VWAP Trading Days beginning on, and including, the forty first (41st) Scheduled Trading Day immediately before such Redemption Date; and (C) otherwise the forty (40) consecutive VWAP Trading Days beginning on, and including, the forty-first (41st) Scheduled Trading Day immediately before the Maturity Date.</w:t>
      </w:r>
    </w:p>
    <w:p>
      <w:pPr>
        <w:spacing w:after="0" w:line="17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Off-Balance Sheet Liability</w:t>
      </w:r>
      <w:r>
        <w:rPr>
          <w:rFonts w:ascii="Times New Roman" w:cs="Times New Roman" w:eastAsia="Times New Roman" w:hAnsi="Times New Roman"/>
          <w:sz w:val="17"/>
          <w:szCs w:val="17"/>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4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Officer’s Certificate</w:t>
      </w:r>
      <w:r>
        <w:rPr>
          <w:rFonts w:ascii="Times New Roman" w:cs="Times New Roman" w:eastAsia="Times New Roman" w:hAnsi="Times New Roman"/>
          <w:sz w:val="17"/>
          <w:szCs w:val="17"/>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17"/>
          <w:szCs w:val="17"/>
          <w:b w:val="1"/>
          <w:bCs w:val="1"/>
          <w:color w:val="auto"/>
        </w:rPr>
        <w:t>Section 12.03</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Open of Business</w:t>
      </w:r>
      <w:r>
        <w:rPr>
          <w:rFonts w:ascii="Times New Roman" w:cs="Times New Roman" w:eastAsia="Times New Roman" w:hAnsi="Times New Roman"/>
          <w:sz w:val="17"/>
          <w:szCs w:val="17"/>
          <w:color w:val="auto"/>
        </w:rPr>
        <w:t>” means 9:00 a.m., New York City time.</w:t>
      </w:r>
    </w:p>
    <w:p>
      <w:pPr>
        <w:spacing w:after="0" w:line="22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Opinion of Counsel</w:t>
      </w:r>
      <w:r>
        <w:rPr>
          <w:rFonts w:ascii="Times New Roman" w:cs="Times New Roman" w:eastAsia="Times New Roman" w:hAnsi="Times New Roman"/>
          <w:sz w:val="17"/>
          <w:szCs w:val="17"/>
          <w:color w:val="auto"/>
        </w:rPr>
        <w:t xml:space="preserve">” means an opinion, from legal counsel (including an employee of, or counsel to, the Company or any of its Subsidiaries) reasonably acceptable to the Trustee and/or Collateral Agent, that meets the requirements of </w:t>
      </w:r>
      <w:r>
        <w:rPr>
          <w:rFonts w:ascii="Times New Roman" w:cs="Times New Roman" w:eastAsia="Times New Roman" w:hAnsi="Times New Roman"/>
          <w:sz w:val="17"/>
          <w:szCs w:val="17"/>
          <w:b w:val="1"/>
          <w:bCs w:val="1"/>
          <w:color w:val="auto"/>
        </w:rPr>
        <w:t>Section 12.03</w:t>
      </w:r>
      <w:r>
        <w:rPr>
          <w:rFonts w:ascii="Times New Roman" w:cs="Times New Roman" w:eastAsia="Times New Roman" w:hAnsi="Times New Roman"/>
          <w:sz w:val="17"/>
          <w:szCs w:val="17"/>
          <w:color w:val="auto"/>
        </w:rPr>
        <w:t>, subject to customary qualifications and exclusions.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Partnership</w:t>
      </w:r>
      <w:r>
        <w:rPr>
          <w:rFonts w:ascii="Times New Roman" w:cs="Times New Roman" w:eastAsia="Times New Roman" w:hAnsi="Times New Roman"/>
          <w:sz w:val="17"/>
          <w:szCs w:val="17"/>
          <w:color w:val="auto"/>
        </w:rPr>
        <w:t>” means a voluntary, contractual association between two or more parties to carry out business for-profit as co-owners.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Acquisition</w:t>
      </w:r>
      <w:r>
        <w:rPr>
          <w:rFonts w:ascii="Times New Roman" w:cs="Times New Roman" w:eastAsia="Times New Roman" w:hAnsi="Times New Roman"/>
          <w:sz w:val="17"/>
          <w:szCs w:val="17"/>
          <w:color w:val="auto"/>
        </w:rPr>
        <w:t>” means any Acquisition by any Note Party in a transaction that satisfies each of the following requirements:</w:t>
      </w:r>
    </w:p>
    <w:p>
      <w:pPr>
        <w:spacing w:after="0" w:line="225" w:lineRule="exact"/>
        <w:rPr>
          <w:sz w:val="20"/>
          <w:szCs w:val="20"/>
          <w:color w:val="auto"/>
        </w:rPr>
      </w:pPr>
    </w:p>
    <w:p>
      <w:pPr>
        <w:ind w:left="1880" w:hanging="619"/>
        <w:spacing w:after="0"/>
        <w:tabs>
          <w:tab w:leader="none" w:pos="18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is not a Hostile Acquisition;</w:t>
      </w:r>
    </w:p>
    <w:p>
      <w:pPr>
        <w:spacing w:after="0" w:line="223" w:lineRule="exact"/>
        <w:rPr>
          <w:rFonts w:ascii="Times New Roman" w:cs="Times New Roman" w:eastAsia="Times New Roman" w:hAnsi="Times New Roman"/>
          <w:sz w:val="17"/>
          <w:szCs w:val="17"/>
          <w:color w:val="auto"/>
        </w:rPr>
      </w:pPr>
    </w:p>
    <w:p>
      <w:pPr>
        <w:jc w:val="both"/>
        <w:ind w:left="640" w:firstLine="621"/>
        <w:spacing w:after="0" w:line="270" w:lineRule="auto"/>
        <w:tabs>
          <w:tab w:leader="none" w:pos="18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business or product, as applicable, acquired in connection with such Acquisition is engaged, directly or indirectly, in any line of business in which the Company and its Subsidiaries are engaged on the Issue Date and any business operations or activities that are reasonably complementary, ancillary, substantially similar, related, or incidental thereto or any business or activity that is a reasonable extension, development or expansion thereof or ancillary thereto;</w:t>
      </w:r>
    </w:p>
    <w:p>
      <w:pPr>
        <w:spacing w:after="0" w:line="167"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before and immediately after giving effect (including giving effect on a pro forma basis) to such Acquisition, no Event of Default then exists or would result therefrom;</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but not less than thirty (30) days prior to such Acquisition (or such shorter period as agreed by the Required Holders in their sole discretion), the Company has provided the Holders (i) notice of such Acquisition and (ii) a copy of all business and financial information reasonably requested by the Required Holders including pro forma financial statements and statements of cash flow;</w:t>
      </w:r>
    </w:p>
    <w:p>
      <w:pPr>
        <w:spacing w:after="0" w:line="162"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Acquisition is an acquisition of equity interests, such Acquisition will not result in any violation of Regulation U;</w:t>
      </w:r>
    </w:p>
    <w:p>
      <w:pPr>
        <w:spacing w:after="0" w:line="223"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Acquisition involves a merger or a consolidation involving any Note Party, such Note Party shall be the surviving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merger or consolidation involving the Company shall result in the Company as the surviving entity).</w:t>
      </w:r>
    </w:p>
    <w:p>
      <w:pPr>
        <w:spacing w:after="0" w:line="14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Note Party shall, as a result of or in connection with any such Acquisition, assume or incur any direct or contingent liabilities (whether relating to environmental, tax, litigation, or other matters) that would have a Material Adverse Effect;</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 Acquisition of the equity interests of any Person, all Liens (other than Liens permitted by Section 3.09) on any property of such Person shall be terminated, and in connection with an Acquisition of the assets of any Person, all Liens on such assets shall be terminated, in each case, except for Liens permitted by Section 3.09;</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5" w:name="page56"/>
    <w:bookmarkEnd w:id="55"/>
    <w:p>
      <w:pPr>
        <w:ind w:left="640" w:firstLine="621"/>
        <w:spacing w:after="0" w:line="296" w:lineRule="auto"/>
        <w:tabs>
          <w:tab w:leader="none" w:pos="189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newly acquired or formed Subsidiary of the Company shall become a Note Party and all actions required to be taken with respect to such newly acquired or formed Subsidiary of the Company required under Section 3.22(B) shall have been taken; and</w:t>
      </w:r>
    </w:p>
    <w:p>
      <w:pPr>
        <w:spacing w:after="0" w:line="145" w:lineRule="exact"/>
        <w:rPr>
          <w:rFonts w:ascii="Times New Roman" w:cs="Times New Roman" w:eastAsia="Times New Roman" w:hAnsi="Times New Roman"/>
          <w:sz w:val="17"/>
          <w:szCs w:val="17"/>
          <w:color w:val="auto"/>
        </w:rPr>
      </w:pPr>
    </w:p>
    <w:p>
      <w:pPr>
        <w:ind w:left="640" w:firstLine="621"/>
        <w:spacing w:after="0" w:line="268" w:lineRule="auto"/>
        <w:tabs>
          <w:tab w:leader="none" w:pos="189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request by the Required Holders, the Company shall have delivered to the Trustee the final executed documentation relating to such Acquisition promptly following the consummation thereof;</w:t>
      </w: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total consideration paid or payable (including all transaction costs, assumed Indebtedness, and the maximum amount of all Earn-Outs (other than royalty payments based solely on a percentage of sales or revenues attributable to the Permitted Acquisitions), but disregarding any working capital adjustments) for all Permitted Acquisitions shall not exceed, on a cumulative basis subsequent to the Issue Date, $30,000,000.</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Encumbrances</w:t>
      </w:r>
      <w:r>
        <w:rPr>
          <w:rFonts w:ascii="Times New Roman" w:cs="Times New Roman" w:eastAsia="Times New Roman" w:hAnsi="Times New Roman"/>
          <w:sz w:val="17"/>
          <w:szCs w:val="17"/>
          <w:color w:val="auto"/>
        </w:rPr>
        <w:t>” means:</w:t>
      </w:r>
    </w:p>
    <w:p>
      <w:pPr>
        <w:spacing w:after="0" w:line="225" w:lineRule="exact"/>
        <w:rPr>
          <w:sz w:val="20"/>
          <w:szCs w:val="20"/>
          <w:color w:val="auto"/>
        </w:rPr>
      </w:pPr>
    </w:p>
    <w:p>
      <w:pPr>
        <w:jc w:val="both"/>
        <w:ind w:left="640" w:firstLine="621"/>
        <w:spacing w:after="0" w:line="276" w:lineRule="auto"/>
        <w:tabs>
          <w:tab w:leader="none" w:pos="18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law for taxes, assessments or other governmental charges that are not yet due or not subject to penalties for nonpayment or are being contested in good faith by appropriate proceedings and for which the Company has set aside on its books adequate reserves with respect thereto in accordance with GAAP;</w:t>
      </w:r>
    </w:p>
    <w:p>
      <w:pPr>
        <w:spacing w:after="0" w:line="162"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carriers’, warehousemen’s, landlords’, mechanics’, materialmen’s, repairmen’s and other like Liens imposed by law, arising in the ordinary course of business and securing obligations that are not overdue by more than thirty (30) days or are being contested in good faith by appropriate proceedings and for which the Company has set aside on its books adequate reserves with respect thereto in accordance with GAAP;</w:t>
      </w:r>
    </w:p>
    <w:p>
      <w:pPr>
        <w:spacing w:after="0" w:line="162"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and deposits made in the ordinary course of business in compliance with workers’ compensation, unemployment insurance and other social security laws or regulations;</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70" w:lineRule="auto"/>
        <w:tabs>
          <w:tab w:leader="none" w:pos="18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and deposits to secure the performance of bids, trade contracts, leases, statutory obligations, surety and appeal bonds, performance bonds and other obligations of a like nature, in each case in the ordinary course of business and (ii) pledges and deposits in the ordinary course of business securing liability for reimbursement or indemnification obligations of insurance carriers providing property, casualty or liability insurance to the Company or any Subsidiary;</w:t>
      </w:r>
    </w:p>
    <w:p>
      <w:pPr>
        <w:spacing w:after="0" w:line="167"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judgment Liens in respect of judgments that do not constitute an Event of Default;</w:t>
      </w:r>
    </w:p>
    <w:p>
      <w:pPr>
        <w:spacing w:after="0" w:line="223"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or any of its Subsidiaries;</w:t>
      </w:r>
    </w:p>
    <w:p>
      <w:pPr>
        <w:spacing w:after="0" w:line="162"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non-exclusive licenses, subleases or non-exclusive sublicenses granted to third parties, in each case, in the ordinary course of business and not interfering in any material respect with the ordinary conduct of business of the Company or any Subsidiary; and</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68" w:lineRule="auto"/>
        <w:tabs>
          <w:tab w:leader="none" w:pos="18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in favor of a banking or other financial institution arising as a matter of law or in the ordinary course of business under customary general terms and conditions encumbering deposits or other funds maintained with a depository bank or financial institution (including the right of set-off) and that are within the general parameters customary in the banking industry or arising pursuant to such banking institution’s general terms and conditions;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“Permitted Encumbrances” shall not include any Lien securing Indebtedness or any Lien secured by Material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Investments</w:t>
      </w:r>
      <w:r>
        <w:rPr>
          <w:rFonts w:ascii="Times New Roman" w:cs="Times New Roman" w:eastAsia="Times New Roman" w:hAnsi="Times New Roman"/>
          <w:sz w:val="17"/>
          <w:szCs w:val="17"/>
          <w:color w:val="auto"/>
        </w:rPr>
        <w:t>” means:</w:t>
      </w:r>
    </w:p>
    <w:p>
      <w:pPr>
        <w:spacing w:after="0" w:line="225" w:lineRule="exact"/>
        <w:rPr>
          <w:sz w:val="20"/>
          <w:szCs w:val="20"/>
          <w:color w:val="auto"/>
        </w:rPr>
      </w:pPr>
    </w:p>
    <w:p>
      <w:pPr>
        <w:jc w:val="both"/>
        <w:ind w:left="640" w:firstLine="621"/>
        <w:spacing w:after="0" w:line="276" w:lineRule="auto"/>
        <w:tabs>
          <w:tab w:leader="none" w:pos="18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62"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commercial paper maturing within 270 days from the date of acquisition thereof and having, at such date of acquisition, the highest credit rating obtainable from S&amp;P or from Moody’s;</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62"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4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44"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60"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Physical Note</w:t>
      </w:r>
      <w:r>
        <w:rPr>
          <w:rFonts w:ascii="Times New Roman" w:cs="Times New Roman" w:eastAsia="Times New Roman" w:hAnsi="Times New Roman"/>
          <w:sz w:val="17"/>
          <w:szCs w:val="17"/>
          <w:color w:val="auto"/>
        </w:rPr>
        <w:t xml:space="preserve">” means a Note (other than a Global Note) that is represented by a certificate substantially in 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registered in the name of the Holder of such Note and duly executed by the Company and authenticated by the Trustee.</w:t>
      </w:r>
    </w:p>
    <w:p>
      <w:pPr>
        <w:spacing w:after="0" w:line="14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Equity Proceeds</w:t>
      </w:r>
      <w:r>
        <w:rPr>
          <w:rFonts w:ascii="Times New Roman" w:cs="Times New Roman" w:eastAsia="Times New Roman" w:hAnsi="Times New Roman"/>
          <w:sz w:val="17"/>
          <w:szCs w:val="17"/>
          <w:color w:val="auto"/>
        </w:rPr>
        <w:t>” means the net cash proceeds of any equity interests (other than Disqualified Equity Interests) issued by the Company to its shareholders.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w:t>
      </w:r>
      <w:r>
        <w:rPr>
          <w:rFonts w:ascii="Times New Roman" w:cs="Times New Roman" w:eastAsia="Times New Roman" w:hAnsi="Times New Roman"/>
          <w:sz w:val="17"/>
          <w:szCs w:val="17"/>
          <w:color w:val="auto"/>
        </w:rPr>
        <w:t xml:space="preserve">” means the repurchase of any Note by the Company pursuant to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Date</w:t>
      </w:r>
      <w:r>
        <w:rPr>
          <w:rFonts w:ascii="Times New Roman" w:cs="Times New Roman" w:eastAsia="Times New Roman" w:hAnsi="Times New Roman"/>
          <w:sz w:val="17"/>
          <w:szCs w:val="17"/>
          <w:color w:val="auto"/>
        </w:rPr>
        <w:t xml:space="preserve">” means the date fixed, pursuant to </w:t>
      </w:r>
      <w:r>
        <w:rPr>
          <w:rFonts w:ascii="Times New Roman" w:cs="Times New Roman" w:eastAsia="Times New Roman" w:hAnsi="Times New Roman"/>
          <w:sz w:val="17"/>
          <w:szCs w:val="17"/>
          <w:b w:val="1"/>
          <w:bCs w:val="1"/>
          <w:color w:val="auto"/>
        </w:rPr>
        <w:t>Section 4.03(D)</w:t>
      </w:r>
      <w:r>
        <w:rPr>
          <w:rFonts w:ascii="Times New Roman" w:cs="Times New Roman" w:eastAsia="Times New Roman" w:hAnsi="Times New Roman"/>
          <w:sz w:val="17"/>
          <w:szCs w:val="17"/>
          <w:color w:val="auto"/>
        </w:rPr>
        <w:t>, for the settlement of the repurchase of any Notes by the Company pursuant to a Redemption.</w:t>
      </w:r>
    </w:p>
    <w:p>
      <w:pPr>
        <w:spacing w:after="0" w:line="14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Notice Date</w:t>
      </w:r>
      <w:r>
        <w:rPr>
          <w:rFonts w:ascii="Times New Roman" w:cs="Times New Roman" w:eastAsia="Times New Roman" w:hAnsi="Times New Roman"/>
          <w:sz w:val="17"/>
          <w:szCs w:val="17"/>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17"/>
          <w:szCs w:val="17"/>
          <w:b w:val="1"/>
          <w:bCs w:val="1"/>
          <w:color w:val="auto"/>
        </w:rPr>
        <w:t>Section 4.03(F)</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 xml:space="preserve">” means the cash price payable by the Company to redeem any Note upon its Redemption, calculated pursuant to </w:t>
      </w:r>
      <w:r>
        <w:rPr>
          <w:rFonts w:ascii="Times New Roman" w:cs="Times New Roman" w:eastAsia="Times New Roman" w:hAnsi="Times New Roman"/>
          <w:sz w:val="17"/>
          <w:szCs w:val="17"/>
          <w:b w:val="1"/>
          <w:bCs w:val="1"/>
          <w:color w:val="auto"/>
        </w:rPr>
        <w:t>Section 4.03(E)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Trigger Date</w:t>
      </w:r>
      <w:r>
        <w:rPr>
          <w:rFonts w:ascii="Times New Roman" w:cs="Times New Roman" w:eastAsia="Times New Roman" w:hAnsi="Times New Roman"/>
          <w:sz w:val="17"/>
          <w:szCs w:val="17"/>
          <w:color w:val="auto"/>
        </w:rPr>
        <w:t>” means the day that is 75 days prior to the Maturity Date.</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Regular Record Date</w:t>
      </w:r>
      <w:r>
        <w:rPr>
          <w:rFonts w:ascii="Times New Roman" w:cs="Times New Roman" w:eastAsia="Times New Roman" w:hAnsi="Times New Roman"/>
          <w:sz w:val="17"/>
          <w:szCs w:val="17"/>
          <w:color w:val="auto"/>
        </w:rPr>
        <w:t>” has the following meaning with respect to an Interest Payment Date: (A) if such Interest Payment Date occurs on May 15, the immediately preceding May 1; and (B) if such Interest Payment Date occurs on November 15, the immediately preceding November 1.</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Repurchase Upon Fundamental Change</w:t>
      </w:r>
      <w:r>
        <w:rPr>
          <w:rFonts w:ascii="Times New Roman" w:cs="Times New Roman" w:eastAsia="Times New Roman" w:hAnsi="Times New Roman"/>
          <w:sz w:val="17"/>
          <w:szCs w:val="17"/>
          <w:color w:val="auto"/>
        </w:rPr>
        <w:t xml:space="preserve">” means the repurchase of any Note by the Company pursuant to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Holders</w:t>
      </w:r>
      <w:r>
        <w:rPr>
          <w:rFonts w:ascii="Times New Roman" w:cs="Times New Roman" w:eastAsia="Times New Roman" w:hAnsi="Times New Roman"/>
          <w:sz w:val="17"/>
          <w:szCs w:val="17"/>
          <w:color w:val="auto"/>
        </w:rPr>
        <w:t xml:space="preserve">” means Holders holding more than 50% of the aggregate principal amount of the Notes then outstanding;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the Disposition Date, the “Required Holders” must include the Deerfield Holders (it being understood that any request, action or direction by the Deerfield Holders as a Required Holder shall be deemed a certification that the Disposition Date has not occurred). For the avoidance of doubt, the Administrative Determination Holder(s) may act on behalf of the Required Holders in accordance with </w:t>
      </w:r>
      <w:r>
        <w:rPr>
          <w:rFonts w:ascii="Times New Roman" w:cs="Times New Roman" w:eastAsia="Times New Roman" w:hAnsi="Times New Roman"/>
          <w:sz w:val="17"/>
          <w:szCs w:val="17"/>
          <w:b w:val="1"/>
          <w:bCs w:val="1"/>
          <w:color w:val="auto"/>
        </w:rPr>
        <w:t>Article 8</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Note Legend</w:t>
      </w:r>
      <w:r>
        <w:rPr>
          <w:rFonts w:ascii="Times New Roman" w:cs="Times New Roman" w:eastAsia="Times New Roman" w:hAnsi="Times New Roman"/>
          <w:sz w:val="17"/>
          <w:szCs w:val="17"/>
          <w:color w:val="auto"/>
        </w:rPr>
        <w:t xml:space="preserve">” means a legend substantially in the form set forth in </w:t>
      </w:r>
      <w:r>
        <w:rPr>
          <w:rFonts w:ascii="Times New Roman" w:cs="Times New Roman" w:eastAsia="Times New Roman" w:hAnsi="Times New Roman"/>
          <w:sz w:val="17"/>
          <w:szCs w:val="17"/>
          <w:b w:val="1"/>
          <w:bCs w:val="1"/>
          <w:color w:val="auto"/>
        </w:rPr>
        <w:t>Exhibit B-1</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Payment</w:t>
      </w:r>
      <w:r>
        <w:rPr>
          <w:rFonts w:ascii="Times New Roman" w:cs="Times New Roman" w:eastAsia="Times New Roman" w:hAnsi="Times New Roman"/>
          <w:sz w:val="17"/>
          <w:szCs w:val="17"/>
          <w:color w:val="auto"/>
        </w:rPr>
        <w:t xml:space="preserve">” means, as the case may be,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 and any management, advisory, or similar fee paid to the direct or indirect owners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the payment of compensation in the ordinary course of business to holders of any equity interests who are employees or directors of the Company or any Subsidiary on such date of payment and (b) tax obligations in connection with such payments of compensation shall in no event be deemed to constitute a Restricted Payment; provided, further that any replacement, payment, prepayment, conversion, repurchase, redemption, purchase, extension, renewal, or replacement of any Existing Notes shall in no event be deemed to constitute a Restricted Payment but shall be subject to </w:t>
      </w:r>
      <w:r>
        <w:rPr>
          <w:rFonts w:ascii="Times New Roman" w:cs="Times New Roman" w:eastAsia="Times New Roman" w:hAnsi="Times New Roman"/>
          <w:sz w:val="17"/>
          <w:szCs w:val="17"/>
          <w:b w:val="1"/>
          <w:bCs w:val="1"/>
          <w:color w:val="auto"/>
        </w:rPr>
        <w:t>Section 3.15(B)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3.08(S)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Stock Legend</w:t>
      </w:r>
      <w:r>
        <w:rPr>
          <w:rFonts w:ascii="Times New Roman" w:cs="Times New Roman" w:eastAsia="Times New Roman" w:hAnsi="Times New Roman"/>
          <w:sz w:val="17"/>
          <w:szCs w:val="17"/>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means Rule 144 under the Securities Act (or any successor rule thereto), as the same may be amended from time to time.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144A</w:t>
      </w:r>
      <w:r>
        <w:rPr>
          <w:rFonts w:ascii="Times New Roman" w:cs="Times New Roman" w:eastAsia="Times New Roman" w:hAnsi="Times New Roman"/>
          <w:sz w:val="17"/>
          <w:szCs w:val="17"/>
          <w:color w:val="auto"/>
        </w:rPr>
        <w:t>” means Rule 144A under the Securities Act (or any successor rule thereto), as the same may be amended from time to time.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Sale and Leaseback Transaction</w:t>
      </w:r>
      <w:r>
        <w:rPr>
          <w:rFonts w:ascii="Times New Roman" w:cs="Times New Roman" w:eastAsia="Times New Roman" w:hAnsi="Times New Roman"/>
          <w:sz w:val="17"/>
          <w:szCs w:val="17"/>
          <w:color w:val="auto"/>
        </w:rPr>
        <w:t>” has the meaning assigned to such term in Section 3.13.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8" w:name="page59"/>
    <w:bookmarkEnd w:id="58"/>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all economic or financial sanctions or trade embargoes imposed, administered or enforced from time to time by (a) the U.S. government, including those administered by the Office of Foreign Assets Control of the United States Department of the Treasury or the U.S. Department of State, or (b) the United Nations Security Council, the European Union, any European Union member state or His Majesty’s Treasury of the United Kingdom or other sanctions authority applicable to the Company or any of its Affiliates.</w:t>
      </w:r>
    </w:p>
    <w:p>
      <w:pPr>
        <w:spacing w:after="0" w:line="167"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Scheduled Trading Day</w:t>
      </w:r>
      <w:r>
        <w:rPr>
          <w:rFonts w:ascii="Times New Roman" w:cs="Times New Roman" w:eastAsia="Times New Roman" w:hAnsi="Times New Roman"/>
          <w:sz w:val="17"/>
          <w:szCs w:val="17"/>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U.S. Securities and Exchange Commission.</w:t>
      </w:r>
    </w:p>
    <w:p>
      <w:pPr>
        <w:spacing w:after="0" w:line="22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 Documents</w:t>
      </w:r>
      <w:r>
        <w:rPr>
          <w:rFonts w:ascii="Times New Roman" w:cs="Times New Roman" w:eastAsia="Times New Roman" w:hAnsi="Times New Roman"/>
          <w:sz w:val="17"/>
          <w:szCs w:val="17"/>
          <w:color w:val="auto"/>
        </w:rPr>
        <w:t>” means all annual, quarterly and current reports, proxy statements, registration statements, prospectuses and other material schedules, forms, statements and other material documents filed by any Note Party or any of its Subsidiaries with the SEC pursuant to the Securities Act or the Exchange Act (including all financial statements and schedules included therein, all exhibits thereto and all documents incorporated by reference therein).</w:t>
      </w:r>
    </w:p>
    <w:p>
      <w:pPr>
        <w:spacing w:after="0" w:line="160"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Secured Parties</w:t>
      </w:r>
      <w:r>
        <w:rPr>
          <w:rFonts w:ascii="Times New Roman" w:cs="Times New Roman" w:eastAsia="Times New Roman" w:hAnsi="Times New Roman"/>
          <w:sz w:val="17"/>
          <w:szCs w:val="17"/>
          <w:color w:val="auto"/>
        </w:rPr>
        <w:t>” means the Trustee, the Collateral Agent, the Holders of the Notes and any other holder of Note Obligations or Secured Obligations (as defined in the Security Agreement).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Security</w:t>
      </w:r>
      <w:r>
        <w:rPr>
          <w:rFonts w:ascii="Times New Roman" w:cs="Times New Roman" w:eastAsia="Times New Roman" w:hAnsi="Times New Roman"/>
          <w:sz w:val="17"/>
          <w:szCs w:val="17"/>
          <w:color w:val="auto"/>
        </w:rPr>
        <w:t>” means any Note or Conversion Share.</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Security Agreement</w:t>
      </w:r>
      <w:r>
        <w:rPr>
          <w:rFonts w:ascii="Times New Roman" w:cs="Times New Roman" w:eastAsia="Times New Roman" w:hAnsi="Times New Roman"/>
          <w:sz w:val="17"/>
          <w:szCs w:val="17"/>
          <w:color w:val="auto"/>
        </w:rPr>
        <w:t>” means that certain Security Agreement, dated as the Issue Date, by and among the Company, the other grantors from time to time party thereto and the Collateral Agent.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Settlement Method</w:t>
      </w:r>
      <w:r>
        <w:rPr>
          <w:rFonts w:ascii="Times New Roman" w:cs="Times New Roman" w:eastAsia="Times New Roman" w:hAnsi="Times New Roman"/>
          <w:sz w:val="17"/>
          <w:szCs w:val="17"/>
          <w:color w:val="auto"/>
        </w:rPr>
        <w:t>” means Cash Settlement, Physical Settlement or Combination Settlement.</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Significant Subsidiary</w:t>
      </w:r>
      <w:r>
        <w:rPr>
          <w:rFonts w:ascii="Times New Roman" w:cs="Times New Roman" w:eastAsia="Times New Roman" w:hAnsi="Times New Roman"/>
          <w:sz w:val="17"/>
          <w:szCs w:val="17"/>
          <w:color w:val="auto"/>
        </w:rPr>
        <w:t>” means, with respect to any Person, any Subsidiary of such Person that constitutes a “significant subsidiary” (as defined in Rule 1-02(w) of Regulation S-X under the Exchange Act) of such Person.</w:t>
      </w:r>
    </w:p>
    <w:p>
      <w:pPr>
        <w:spacing w:after="0" w:line="14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Specified Dollar Amount</w:t>
      </w:r>
      <w:r>
        <w:rPr>
          <w:rFonts w:ascii="Times New Roman" w:cs="Times New Roman" w:eastAsia="Times New Roman" w:hAnsi="Times New Roman"/>
          <w:sz w:val="17"/>
          <w:szCs w:val="17"/>
          <w:color w:val="auto"/>
        </w:rPr>
        <w: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Price</w:t>
      </w:r>
      <w:r>
        <w:rPr>
          <w:rFonts w:ascii="Times New Roman" w:cs="Times New Roman" w:eastAsia="Times New Roman" w:hAnsi="Times New Roman"/>
          <w:sz w:val="17"/>
          <w:szCs w:val="17"/>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17"/>
          <w:szCs w:val="17"/>
          <w:b w:val="1"/>
          <w:bCs w:val="1"/>
          <w:color w:val="auto"/>
        </w:rPr>
        <w:t xml:space="preserve">clause (B) </w:t>
      </w:r>
      <w:r>
        <w:rPr>
          <w:rFonts w:ascii="Times New Roman" w:cs="Times New Roman" w:eastAsia="Times New Roman" w:hAnsi="Times New Roman"/>
          <w:sz w:val="17"/>
          <w:szCs w:val="17"/>
          <w:color w:val="auto"/>
        </w:rPr>
        <w:t>of the definition of “Fundamental Change,” then the Stock Price is the amount of cash paid per share of Common Stock in such Make-Whole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Fundamental Change; and (B) in all other cases, the Stock Price is the average of the Last Reported Sale Prices per share of Common Stock for the five</w:t>
      </w:r>
    </w:p>
    <w:p>
      <w:pPr>
        <w:spacing w:after="0" w:line="1" w:lineRule="exact"/>
        <w:rPr>
          <w:sz w:val="20"/>
          <w:szCs w:val="20"/>
          <w:color w:val="auto"/>
        </w:rPr>
      </w:pPr>
    </w:p>
    <w:p>
      <w:pPr>
        <w:ind w:firstLine="5"/>
        <w:spacing w:after="0" w:line="274" w:lineRule="auto"/>
        <w:tabs>
          <w:tab w:leader="none" w:pos="26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consecutive Trading Days ending on, and including, the Trading Day immediately before the Make-Whole Fundamental Change Effective Date of such Make-Whole Fundamental Change.</w:t>
      </w:r>
    </w:p>
    <w:p>
      <w:pPr>
        <w:spacing w:after="0" w:line="162"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Subordinated Indebtedness</w:t>
      </w:r>
      <w:r>
        <w:rPr>
          <w:rFonts w:ascii="Times New Roman" w:cs="Times New Roman" w:eastAsia="Times New Roman" w:hAnsi="Times New Roman"/>
          <w:sz w:val="17"/>
          <w:szCs w:val="17"/>
          <w:color w:val="auto"/>
        </w:rPr>
        <w:t>” of a Person means any Indebtedness of such Person the payment of which is contractually subordinated to payment of the Note Obligations on terms satisfactory to the Collateral Agent (acting as directed by the Required Holders).</w:t>
      </w:r>
    </w:p>
    <w:p>
      <w:pPr>
        <w:spacing w:after="0" w:line="143"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73" w:lineRule="exact"/>
        <w:rPr>
          <w:sz w:val="20"/>
          <w:szCs w:val="20"/>
          <w:color w:val="auto"/>
        </w:rPr>
      </w:pPr>
    </w:p>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Swap Agreement</w:t>
      </w:r>
      <w:r>
        <w:rPr>
          <w:rFonts w:ascii="Times New Roman" w:cs="Times New Roman" w:eastAsia="Times New Roman" w:hAnsi="Times New Roman"/>
          <w:sz w:val="17"/>
          <w:szCs w:val="17"/>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phantom stock or similar plan providing for payments only on account of services provided by current or former directors, officers, employees or consultants of a Person shall be a Swap Agreement.</w:t>
      </w:r>
    </w:p>
    <w:p>
      <w:pPr>
        <w:spacing w:after="0" w:line="169" w:lineRule="exact"/>
        <w:rPr>
          <w:sz w:val="20"/>
          <w:szCs w:val="20"/>
          <w:color w:val="auto"/>
        </w:rPr>
      </w:pPr>
    </w:p>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Swap Termination Value</w:t>
      </w:r>
      <w:r>
        <w:rPr>
          <w:rFonts w:ascii="Times New Roman" w:cs="Times New Roman" w:eastAsia="Times New Roman" w:hAnsi="Times New Roman"/>
          <w:sz w:val="17"/>
          <w:szCs w:val="17"/>
          <w:color w:val="auto"/>
        </w:rPr>
        <w:t>” means, in respect of any one or more Swap Agreement, after taking into account the effect of any legally enforceable netting agreement relating to such Swap Agreement, (a) for any date on or after the date such Swap Agreement have been closed out and termination value(s) determined in accordance therewith, such termination value(s), and (b) for any date prior to the date referenced in clause (a), the amount(s) determined as the mark-to-market value(s) for such Swap Agreement, as determined based upon one or more mid-market or other readily available quotations provided by any recognized dealer in such Swap Agreement.</w:t>
      </w:r>
    </w:p>
    <w:p>
      <w:pPr>
        <w:spacing w:after="0" w:line="169"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Transfer-Restricted Security</w:t>
      </w:r>
      <w:r>
        <w:rPr>
          <w:rFonts w:ascii="Times New Roman" w:cs="Times New Roman" w:eastAsia="Times New Roman" w:hAnsi="Times New Roman"/>
          <w:sz w:val="17"/>
          <w:szCs w:val="17"/>
          <w:color w:val="auto"/>
        </w:rPr>
        <w:t xml:space="preserve">” means any Security that constitutes a “restricted security” (as defined in Rule 144);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will cease to be a Transfer-Restricted Security upon the earliest to occur of the following events:</w:t>
      </w:r>
    </w:p>
    <w:p>
      <w:pPr>
        <w:spacing w:after="0" w:line="205" w:lineRule="exact"/>
        <w:rPr>
          <w:sz w:val="20"/>
          <w:szCs w:val="20"/>
          <w:color w:val="auto"/>
        </w:rPr>
      </w:pPr>
    </w:p>
    <w:p>
      <w:pPr>
        <w:ind w:firstLine="633"/>
        <w:spacing w:after="0" w:line="296" w:lineRule="auto"/>
        <w:tabs>
          <w:tab w:leader="none" w:pos="125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45"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62"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63"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Trustee is under no obligation to determine whether any Security is a Transfer-Restricted Security and may conclusively rely on an Officer’s Certificate with respect thereto.</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 Indenture Act</w:t>
      </w:r>
      <w:r>
        <w:rPr>
          <w:rFonts w:ascii="Times New Roman" w:cs="Times New Roman" w:eastAsia="Times New Roman" w:hAnsi="Times New Roman"/>
          <w:sz w:val="17"/>
          <w:szCs w:val="17"/>
          <w:color w:val="auto"/>
        </w:rPr>
        <w:t>” means the U.S. Trust Indenture Act of 1939, as amended.</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such in the first paragraph of this Indenture until a successor replaces it in accordance with the provisions of this Indenture and, thereafter, means such successor.</w:t>
      </w:r>
    </w:p>
    <w:p>
      <w:pPr>
        <w:spacing w:after="0" w:line="143"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VWAP Market Disruption Event</w:t>
      </w:r>
      <w:r>
        <w:rPr>
          <w:rFonts w:ascii="Times New Roman" w:cs="Times New Roman" w:eastAsia="Times New Roman" w:hAnsi="Times New Roman"/>
          <w:sz w:val="17"/>
          <w:szCs w:val="17"/>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70"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VWAP Trading Day</w:t>
      </w:r>
      <w:r>
        <w:rPr>
          <w:rFonts w:ascii="Times New Roman" w:cs="Times New Roman" w:eastAsia="Times New Roman" w:hAnsi="Times New Roman"/>
          <w:sz w:val="17"/>
          <w:szCs w:val="17"/>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67"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Wholly Owned Subsidiary</w:t>
      </w:r>
      <w:r>
        <w:rPr>
          <w:rFonts w:ascii="Times New Roman" w:cs="Times New Roman" w:eastAsia="Times New Roman" w:hAnsi="Times New Roman"/>
          <w:sz w:val="17"/>
          <w:szCs w:val="17"/>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9"/>
        </w:trPr>
        <w:tc>
          <w:tcPr>
            <w:tcW w:w="216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1.02.</w:t>
            </w:r>
          </w:p>
        </w:tc>
        <w:tc>
          <w:tcPr>
            <w:tcW w:w="4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1"/>
                <w:szCs w:val="11"/>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efinitions</w:t>
            </w:r>
            <w:r>
              <w:rPr>
                <w:rFonts w:ascii="Times New Roman" w:cs="Times New Roman" w:eastAsia="Times New Roman" w:hAnsi="Times New Roman"/>
                <w:sz w:val="17"/>
                <w:szCs w:val="17"/>
                <w:color w:val="auto"/>
              </w:rPr>
              <w:t>.</w:t>
            </w:r>
          </w:p>
        </w:tc>
        <w:tc>
          <w:tcPr>
            <w:tcW w:w="4720" w:type="dxa"/>
            <w:vAlign w:val="bottom"/>
            <w:vMerge w:val="restart"/>
          </w:tcPr>
          <w:p>
            <w:pPr>
              <w:ind w:left="3440"/>
              <w:spacing w:after="0"/>
              <w:rPr>
                <w:sz w:val="20"/>
                <w:szCs w:val="20"/>
                <w:color w:val="auto"/>
              </w:rPr>
            </w:pPr>
            <w:r>
              <w:rPr>
                <w:rFonts w:ascii="Times New Roman" w:cs="Times New Roman" w:eastAsia="Times New Roman" w:hAnsi="Times New Roman"/>
                <w:sz w:val="17"/>
                <w:szCs w:val="17"/>
                <w:b w:val="1"/>
                <w:bCs w:val="1"/>
                <w:color w:val="auto"/>
              </w:rPr>
              <w:t>Defined in</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436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7"/>
                <w:szCs w:val="17"/>
                <w:b w:val="1"/>
                <w:bCs w:val="1"/>
                <w:color w:val="auto"/>
              </w:rPr>
              <w:t>Section</w:t>
            </w:r>
          </w:p>
        </w:tc>
        <w:tc>
          <w:tcPr>
            <w:tcW w:w="0" w:type="dxa"/>
            <w:vAlign w:val="bottom"/>
          </w:tcPr>
          <w:p>
            <w:pPr>
              <w:spacing w:after="0"/>
              <w:rPr>
                <w:sz w:val="1"/>
                <w:szCs w:val="1"/>
                <w:color w:val="auto"/>
              </w:rPr>
            </w:pPr>
          </w:p>
        </w:tc>
      </w:tr>
      <w:tr>
        <w:trPr>
          <w:trHeight w:val="182"/>
        </w:trPr>
        <w:tc>
          <w:tcPr>
            <w:tcW w:w="21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w:t>
            </w:r>
          </w:p>
        </w:tc>
        <w:tc>
          <w:tcPr>
            <w:tcW w:w="4360" w:type="dxa"/>
            <w:vAlign w:val="bottom"/>
          </w:tcPr>
          <w:p>
            <w:pPr>
              <w:spacing w:after="0"/>
              <w:rPr>
                <w:sz w:val="15"/>
                <w:szCs w:val="15"/>
                <w:color w:val="auto"/>
              </w:rPr>
            </w:pPr>
          </w:p>
        </w:tc>
        <w:tc>
          <w:tcPr>
            <w:tcW w:w="4720" w:type="dxa"/>
            <w:vAlign w:val="bottom"/>
          </w:tcPr>
          <w:p>
            <w:pPr>
              <w:ind w:left="2940"/>
              <w:spacing w:after="0" w:line="182" w:lineRule="exact"/>
              <w:rPr>
                <w:sz w:val="20"/>
                <w:szCs w:val="20"/>
                <w:color w:val="auto"/>
              </w:rPr>
            </w:pPr>
            <w:r>
              <w:rPr>
                <w:rFonts w:ascii="Times New Roman" w:cs="Times New Roman" w:eastAsia="Times New Roman" w:hAnsi="Times New Roman"/>
                <w:sz w:val="17"/>
                <w:szCs w:val="17"/>
                <w:b w:val="1"/>
                <w:bCs w:val="1"/>
                <w:color w:val="auto"/>
              </w:rPr>
              <w:t>5.07(A)</w:t>
            </w: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Combination Event</w:t>
            </w:r>
            <w:r>
              <w:rPr>
                <w:rFonts w:ascii="Times New Roman" w:cs="Times New Roman" w:eastAsia="Times New Roman" w:hAnsi="Times New Roman"/>
                <w:sz w:val="17"/>
                <w:szCs w:val="17"/>
                <w:color w:val="auto"/>
              </w:rPr>
              <w:t>”</w:t>
            </w: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6.01(A)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Settlement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5.03(A)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Combination Settlement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5.03(A)</w:t>
            </w: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 Change Event</w:t>
            </w:r>
            <w:r>
              <w:rPr>
                <w:rFonts w:ascii="Times New Roman" w:cs="Times New Roman" w:eastAsia="Times New Roman" w:hAnsi="Times New Roman"/>
                <w:sz w:val="17"/>
                <w:szCs w:val="17"/>
                <w:color w:val="auto"/>
              </w:rPr>
              <w:t>”</w:t>
            </w: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5.09(A)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2.06(A)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Consideration</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5.03(B)</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2.05(B)</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Defaulted Amount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2.05(B)</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7.01(A)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5.05(A)(v)</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Expiration Time</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5.05(A)(v)</w:t>
            </w: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Change Notice</w:t>
            </w:r>
            <w:r>
              <w:rPr>
                <w:rFonts w:ascii="Times New Roman" w:cs="Times New Roman" w:eastAsia="Times New Roman" w:hAnsi="Times New Roman"/>
                <w:sz w:val="17"/>
                <w:szCs w:val="17"/>
                <w:color w:val="auto"/>
              </w:rPr>
              <w:t>”</w:t>
            </w: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4.02(E)</w:t>
            </w: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Change Repurchase Right</w:t>
            </w:r>
            <w:r>
              <w:rPr>
                <w:rFonts w:ascii="Times New Roman" w:cs="Times New Roman" w:eastAsia="Times New Roman" w:hAnsi="Times New Roman"/>
                <w:sz w:val="17"/>
                <w:szCs w:val="17"/>
                <w:color w:val="auto"/>
              </w:rPr>
              <w:t>”</w:t>
            </w: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4.02(A)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Notes</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2.03(A)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2.06(A)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Physical Settlement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5.03(A)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Notice</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4.03(F)</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Reference Property</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5.09(A)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Reference Property Unit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5.09(A)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2.06(B)</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2.06(A)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Specified Courts</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12.07</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Spin-Off</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5.05(A)(iii)(2)</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Spin-Off Valuation Period</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5.05(A)(iii)(2)</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Stated Interest</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2.05(A)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 Entity</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6.01(A)</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 Person</w:t>
            </w:r>
            <w:r>
              <w:rPr>
                <w:rFonts w:ascii="Times New Roman" w:cs="Times New Roman" w:eastAsia="Times New Roman" w:hAnsi="Times New Roman"/>
                <w:sz w:val="17"/>
                <w:szCs w:val="17"/>
                <w:color w:val="auto"/>
              </w:rPr>
              <w:t>”</w:t>
            </w:r>
          </w:p>
        </w:tc>
        <w:tc>
          <w:tcPr>
            <w:tcW w:w="4360" w:type="dxa"/>
            <w:vAlign w:val="bottom"/>
          </w:tcPr>
          <w:p>
            <w:pPr>
              <w:spacing w:after="0"/>
              <w:rPr>
                <w:sz w:val="18"/>
                <w:szCs w:val="18"/>
                <w:color w:val="auto"/>
              </w:rPr>
            </w:pP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5.09(A)</w:t>
            </w: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Tender/Exchange Offer Valuation Period</w:t>
            </w:r>
            <w:r>
              <w:rPr>
                <w:rFonts w:ascii="Times New Roman" w:cs="Times New Roman" w:eastAsia="Times New Roman" w:hAnsi="Times New Roman"/>
                <w:sz w:val="17"/>
                <w:szCs w:val="17"/>
                <w:color w:val="auto"/>
              </w:rPr>
              <w:t>”</w:t>
            </w:r>
          </w:p>
        </w:tc>
        <w:tc>
          <w:tcPr>
            <w:tcW w:w="472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5.05(A)(v)</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2" w:name="page63"/>
    <w:bookmarkEnd w:id="62"/>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1.03.</w:t>
      </w:r>
      <w:r>
        <w:rPr>
          <w:sz w:val="20"/>
          <w:szCs w:val="20"/>
          <w:color w:val="auto"/>
        </w:rPr>
        <w:tab/>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nterpretation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58" w:lineRule="auto"/>
        <w:rPr>
          <w:sz w:val="20"/>
          <w:szCs w:val="20"/>
          <w:color w:val="auto"/>
        </w:rPr>
      </w:pPr>
      <w:r>
        <w:rPr>
          <w:rFonts w:ascii="Times New Roman" w:cs="Times New Roman" w:eastAsia="Times New Roman" w:hAnsi="Times New Roman"/>
          <w:sz w:val="17"/>
          <w:szCs w:val="17"/>
          <w:color w:val="auto"/>
        </w:rPr>
        <w:t xml:space="preserve">The division of this Indenture and the other Note Documents into Articles and Sections and the use of headings and captions is for convenience of reference only and shall not modify or affect the interpretation or construction of this Indenture or any of its provisions. The words “herein,” “hereof,” “hereunder,” “hereinafter” and “hereto” and words of similar import refer to this Indenture (or other applicable Note Document). The term “or” has, except where otherwise indicated, the inclusive meaning represented by the phrase “and/or.” The term “documents” and “agreements” include any and all instruments, documents, agreements, certificates, indentures, notices and other writings, however evidenced. The use in any of the Note Documents of the word “include” or “including”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References to a specified Article, Exhibit, Section or Schedule shall be construed as a reference to that specified Article, Exhibit, Section or Schedule of this Indenture (or other applicable Note Document). Unless specifically stated otherwise, any reference to any of the Note Documents means such document as the same shall be amended, restated, supplemented or otherwise modified and from time to time in effect in accordance with the terms hereof or thereof, as applicable. The references to “assets” and “properties” in the Note Documents are meant to be mean the same and are used throughout the Note Documents interchangeably, and such words shall be deemed to refer to any and all tangible and intangible assets and properties, including cash, securities, Stock, accounts and contract rights. The meanings of defined terms shall be equally applicable to the singular and plural forms of the defined terms. The payment, prepayment, redemption or repayment of any principal, interest, charges, fees, amounts and/or other Obligations under this Indenture or the other Note Documents (including any Make Whole Amount and Cash Settlement Amount (including any Cash Settlement Amount within the meaning of the Warrants)) shall be made in cash in Dollars unless expressly stated otherwise herein or therein. Any reference to “payment in full,” “payment in full in cash,” “paid in full,” “paid in full in cash,” “repaid in full,” “repaid in full in cash,” “prepaid in full,” “prepaid in full in cash,” “redeemed in full,” “redeemed in full in cash” or any other term or word of similar effect used in this Indenture or any other Note Document with respect to the Notes or the Obligations shall mean all Obligations, but excluding contingent claims for indemnification to the extent no claim giving rise thereto has been asserted, have been repaid in full in cash or by conversion into shares of Common Stock in accordance with the terms of this Indenture and have been fully performed;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reference otherwise to “payment,” “paid,” “repaid,” “prepaid,” “redeem,” “purchase,” “defease,” “prepayment” or “redemption” or any term or word of similar effect used in this Indenture or any other Note Document with respect to the Notes or the Obligations shall mean in cash and not by conversion into shares of Common Stock. The phrase “ordinary course of business” means, with respect to any action of the Company, an action that is the type that would be taken in the ordinary course of business of the Company and its Subsidiaries or a Person engaged in a business that is substantially similar in industry, size and scope as engaged in by the Company and its Subsidiaries. The phrase “consistent with past practice” shall mean an action of the Company that is taken by the Company or any of its Subsidiaries (or an officer, director or employee of such Person) that is not inconsistent with the manner in which the business of the Company or any of its Subsidiaries has previously been operated, including, in connection with events that are unusual or infrequent in nature, in each case, as determined by the Company reasonably and in good faith.</w:t>
      </w:r>
    </w:p>
    <w:p>
      <w:pPr>
        <w:spacing w:after="0" w:line="18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1.04.</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erms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rinciples</w:t>
      </w:r>
      <w:r>
        <w:rPr>
          <w:rFonts w:ascii="Times New Roman" w:cs="Times New Roman" w:eastAsia="Times New Roman" w:hAnsi="Times New Roman"/>
          <w:sz w:val="17"/>
          <w:szCs w:val="17"/>
          <w:b w:val="1"/>
          <w:bCs w:val="1"/>
          <w:color w:val="auto"/>
        </w:rPr>
        <w:t>; B</w:t>
      </w:r>
      <w:r>
        <w:rPr>
          <w:rFonts w:ascii="Times New Roman" w:cs="Times New Roman" w:eastAsia="Times New Roman" w:hAnsi="Times New Roman"/>
          <w:sz w:val="11"/>
          <w:szCs w:val="11"/>
          <w:b w:val="1"/>
          <w:bCs w:val="1"/>
          <w:color w:val="auto"/>
        </w:rPr>
        <w:t>asket</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All accounting determinations required to be made pursuant hereto shall, unless expressly otherwise provided herein, be made in accordance with GAAP. The Company may rely on more than one basket or exception hereunder at the time of any proposed transaction to the extent applicable.</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1.05.</w:t>
      </w:r>
      <w:r>
        <w:rPr>
          <w:sz w:val="20"/>
          <w:szCs w:val="20"/>
          <w:color w:val="auto"/>
        </w:rPr>
        <w:tab/>
      </w:r>
      <w:r>
        <w:rPr>
          <w:rFonts w:ascii="Times New Roman" w:cs="Times New Roman" w:eastAsia="Times New Roman" w:hAnsi="Times New Roman"/>
          <w:sz w:val="17"/>
          <w:szCs w:val="17"/>
          <w:b w:val="1"/>
          <w:bCs w:val="1"/>
          <w:color w:val="auto"/>
        </w:rPr>
        <w:t>U</w:t>
      </w:r>
      <w:r>
        <w:rPr>
          <w:rFonts w:ascii="Times New Roman" w:cs="Times New Roman" w:eastAsia="Times New Roman" w:hAnsi="Times New Roman"/>
          <w:sz w:val="11"/>
          <w:szCs w:val="11"/>
          <w:b w:val="1"/>
          <w:bCs w:val="1"/>
          <w:color w:val="auto"/>
        </w:rPr>
        <w:t>niform</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ommercial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ode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As used herein, the following terms are defined in accordance with the UCC in effect in the State of New York from time to time: “Commodity Account,” “Deposit Account,” and “Securities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NOTES</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2.01.</w:t>
      </w:r>
      <w:r>
        <w:rPr>
          <w:sz w:val="20"/>
          <w:szCs w:val="20"/>
          <w:color w:val="auto"/>
        </w:rPr>
        <w:tab/>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orm</w:t>
      </w:r>
      <w:r>
        <w:rPr>
          <w:rFonts w:ascii="Times New Roman" w:cs="Times New Roman" w:eastAsia="Times New Roman" w:hAnsi="Times New Roman"/>
          <w:sz w:val="17"/>
          <w:szCs w:val="17"/>
          <w:b w:val="1"/>
          <w:bCs w:val="1"/>
          <w:color w:val="auto"/>
        </w:rPr>
        <w:t>, D</w:t>
      </w:r>
      <w:r>
        <w:rPr>
          <w:rFonts w:ascii="Times New Roman" w:cs="Times New Roman" w:eastAsia="Times New Roman" w:hAnsi="Times New Roman"/>
          <w:sz w:val="11"/>
          <w:szCs w:val="11"/>
          <w:b w:val="1"/>
          <w:bCs w:val="1"/>
          <w:color w:val="auto"/>
        </w:rPr>
        <w:t>ating and</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enominations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 xml:space="preserve">The Notes and the Trustee’s certificate of authentication will be substantially in 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Notes will bear the legends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 xml:space="preserve"> and may bear notations, legends or endorsements required by law, stock exchange rule or usage or the Depositary. Each Note will be dated as of the date of its authentication.</w:t>
      </w:r>
    </w:p>
    <w:p>
      <w:pPr>
        <w:spacing w:after="0" w:line="162"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7"/>
          <w:szCs w:val="17"/>
          <w:b w:val="1"/>
          <w:bCs w:val="1"/>
          <w:color w:val="auto"/>
        </w:rPr>
        <w:t>Section 2.10</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Notes will be issuable only in registered form without interest coupons and only in Authorized Denominations.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Each certificate representing a Note will bear a unique registration number that is not affixed to any other certificate representing another outstanding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14"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color w:val="auto"/>
        </w:rPr>
        <w:t xml:space="preserve">The terms contained in the Notes constitute part of this Indenture, and, to the extent applicable, the Company, the Guarantors, the Collateral Agent and the Trustee, by their execution and delivery of this Indenture, agree to such terms and to be bound thereby;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to the extent that any provision of any Note conflicts with the provisions of this Indenture, the provisions of this Indenture will control for purposes of this Indenture and such Note.</w:t>
      </w:r>
    </w:p>
    <w:p>
      <w:pPr>
        <w:spacing w:after="0" w:line="17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2.02.</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xecution</w:t>
      </w:r>
      <w:r>
        <w:rPr>
          <w:rFonts w:ascii="Times New Roman" w:cs="Times New Roman" w:eastAsia="Times New Roman" w:hAnsi="Times New Roman"/>
          <w:sz w:val="17"/>
          <w:szCs w:val="17"/>
          <w:b w:val="1"/>
          <w:bCs w:val="1"/>
          <w:color w:val="auto"/>
        </w:rPr>
        <w:t>, A</w:t>
      </w:r>
      <w:r>
        <w:rPr>
          <w:rFonts w:ascii="Times New Roman" w:cs="Times New Roman" w:eastAsia="Times New Roman" w:hAnsi="Times New Roman"/>
          <w:sz w:val="11"/>
          <w:szCs w:val="11"/>
          <w:b w:val="1"/>
          <w:bCs w:val="1"/>
          <w:color w:val="auto"/>
        </w:rPr>
        <w:t>uthentication and</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elivery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33"/>
        <w:spacing w:after="0" w:line="277" w:lineRule="auto"/>
        <w:tabs>
          <w:tab w:leader="none" w:pos="125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Due Execution by the Company</w:t>
      </w:r>
      <w:r>
        <w:rPr>
          <w:rFonts w:ascii="Times New Roman" w:cs="Times New Roman" w:eastAsia="Times New Roman" w:hAnsi="Times New Roman"/>
          <w:sz w:val="17"/>
          <w:szCs w:val="17"/>
          <w:color w:val="auto"/>
        </w:rPr>
        <w:t>. At least one (1) duly authorized Officer will sign the Notes on behalf of the Company by manual, electronic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facsimile signature. A Note’s validity will not be affected by the failure of any Officer whose signature is on any Note to hold, at the time such Note is authenticated, the same or any other office at the Company.</w:t>
      </w:r>
    </w:p>
    <w:p>
      <w:pPr>
        <w:spacing w:after="0" w:line="160"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Authentication by the Trustee and Delivery</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65" w:lineRule="auto"/>
        <w:tabs>
          <w:tab w:leader="none" w:pos="1896"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7"/>
          <w:szCs w:val="17"/>
          <w:b w:val="1"/>
          <w:bCs w:val="1"/>
          <w:color w:val="auto"/>
        </w:rPr>
        <w:t>Section 2.02(A)</w:t>
      </w:r>
      <w:r>
        <w:rPr>
          <w:rFonts w:ascii="Times New Roman" w:cs="Times New Roman" w:eastAsia="Times New Roman" w:hAnsi="Times New Roman"/>
          <w:sz w:val="17"/>
          <w:szCs w:val="17"/>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386" w:lineRule="exact"/>
        <w:rPr>
          <w:rFonts w:ascii="Times New Roman" w:cs="Times New Roman" w:eastAsia="Times New Roman" w:hAnsi="Times New Roman"/>
          <w:sz w:val="17"/>
          <w:szCs w:val="17"/>
          <w:color w:val="auto"/>
        </w:rPr>
      </w:pPr>
    </w:p>
    <w:p>
      <w:pPr>
        <w:jc w:val="both"/>
        <w:ind w:left="640" w:firstLine="621"/>
        <w:spacing w:after="0" w:line="268" w:lineRule="auto"/>
        <w:tabs>
          <w:tab w:leader="none" w:pos="1896"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authentication agent was validly appointed to undertake.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4" w:name="page65"/>
    <w:bookmarkEnd w:id="64"/>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2.03.</w:t>
      </w:r>
      <w:r>
        <w:rPr>
          <w:sz w:val="20"/>
          <w:szCs w:val="20"/>
          <w:color w:val="auto"/>
        </w:rPr>
        <w:tab/>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nitial</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dditional</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77" w:lineRule="auto"/>
        <w:tabs>
          <w:tab w:leader="none" w:pos="12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 Notes</w:t>
      </w:r>
      <w:r>
        <w:rPr>
          <w:rFonts w:ascii="Times New Roman" w:cs="Times New Roman" w:eastAsia="Times New Roman" w:hAnsi="Times New Roman"/>
          <w:sz w:val="17"/>
          <w:szCs w:val="17"/>
          <w:color w:val="auto"/>
        </w:rPr>
        <w:t>. On the Issue Date, there will be originally issued two hundred fifty million dollars ($250,000,000) aggregate principal amount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Notes, subject to the provisions of this Indenture (including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Notes issued pursuant to this </w:t>
      </w:r>
      <w:r>
        <w:rPr>
          <w:rFonts w:ascii="Times New Roman" w:cs="Times New Roman" w:eastAsia="Times New Roman" w:hAnsi="Times New Roman"/>
          <w:sz w:val="17"/>
          <w:szCs w:val="17"/>
          <w:b w:val="1"/>
          <w:bCs w:val="1"/>
          <w:color w:val="auto"/>
        </w:rPr>
        <w:t>Section 2.03(A)</w:t>
      </w:r>
      <w:r>
        <w:rPr>
          <w:rFonts w:ascii="Times New Roman" w:cs="Times New Roman" w:eastAsia="Times New Roman" w:hAnsi="Times New Roman"/>
          <w:sz w:val="17"/>
          <w:szCs w:val="17"/>
          <w:color w:val="auto"/>
        </w:rPr>
        <w:t>, and any Notes issued in exchange therefor or in substitution thereof, are referred to in this Indenture as the “</w:t>
      </w:r>
      <w:r>
        <w:rPr>
          <w:rFonts w:ascii="Times New Roman" w:cs="Times New Roman" w:eastAsia="Times New Roman" w:hAnsi="Times New Roman"/>
          <w:sz w:val="17"/>
          <w:szCs w:val="17"/>
          <w:b w:val="1"/>
          <w:bCs w:val="1"/>
          <w:color w:val="auto"/>
        </w:rPr>
        <w:t>Initial Notes</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left="-20" w:firstLine="633"/>
        <w:spacing w:after="0" w:line="262" w:lineRule="auto"/>
        <w:tabs>
          <w:tab w:leader="none" w:pos="12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Notes</w:t>
      </w:r>
      <w:r>
        <w:rPr>
          <w:rFonts w:ascii="Times New Roman" w:cs="Times New Roman" w:eastAsia="Times New Roman" w:hAnsi="Times New Roman"/>
          <w:sz w:val="17"/>
          <w:szCs w:val="17"/>
          <w:color w:val="auto"/>
        </w:rPr>
        <w:t>. Without the consent of any Holder, the Company may, subject to the provisions of this Indenture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b w:val="1"/>
          <w:bCs w:val="1"/>
          <w:color w:val="auto"/>
        </w:rPr>
        <w:t>Section 3.08</w:t>
      </w:r>
      <w:r>
        <w:rPr>
          <w:rFonts w:ascii="Times New Roman" w:cs="Times New Roman" w:eastAsia="Times New Roman" w:hAnsi="Times New Roman"/>
          <w:sz w:val="17"/>
          <w:szCs w:val="17"/>
          <w:color w:val="auto"/>
        </w:rPr>
        <w:t xml:space="preserve">), originally issue additional Notes in an aggregate principal amount not to exceed fifty million dollars ($50,000,000) with the same terms as the Initial Notes (except, to the extent applicable, with respect to the date as of which interest begins to accrue on such additional Notes and the first Interest Payment Date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any such additional Notes (and any Notes that are resold after such Notes have been purchased or otherwise acquired by the Company or its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 For the avoidance of doubt, no Additional Notes may be issued except pursuant to </w:t>
      </w:r>
      <w:r>
        <w:rPr>
          <w:rFonts w:ascii="Times New Roman" w:cs="Times New Roman" w:eastAsia="Times New Roman" w:hAnsi="Times New Roman"/>
          <w:sz w:val="17"/>
          <w:szCs w:val="17"/>
          <w:b w:val="1"/>
          <w:bCs w:val="1"/>
          <w:color w:val="auto"/>
        </w:rPr>
        <w:t>Section 3.08(R)</w:t>
      </w:r>
      <w:r>
        <w:rPr>
          <w:rFonts w:ascii="Times New Roman" w:cs="Times New Roman" w:eastAsia="Times New Roman" w:hAnsi="Times New Roman"/>
          <w:sz w:val="17"/>
          <w:szCs w:val="17"/>
          <w:color w:val="auto"/>
        </w:rPr>
        <w:t>.</w:t>
      </w:r>
    </w:p>
    <w:p>
      <w:pPr>
        <w:spacing w:after="0" w:line="386"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2.04.</w:t>
      </w:r>
      <w:r>
        <w:rPr>
          <w:sz w:val="20"/>
          <w:szCs w:val="20"/>
          <w:color w:val="auto"/>
        </w:rPr>
        <w:tab/>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ethod of</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77" w:lineRule="auto"/>
        <w:tabs>
          <w:tab w:leader="none" w:pos="12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The Company will pay, or cause the Paying Agent to pay, the principal (whether due upon maturity on the Maturity Date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60" w:lineRule="exact"/>
        <w:rPr>
          <w:rFonts w:ascii="Times New Roman" w:cs="Times New Roman" w:eastAsia="Times New Roman" w:hAnsi="Times New Roman"/>
          <w:sz w:val="17"/>
          <w:szCs w:val="17"/>
          <w:color w:val="auto"/>
        </w:rPr>
      </w:pPr>
    </w:p>
    <w:p>
      <w:pPr>
        <w:jc w:val="both"/>
        <w:ind w:left="-20" w:firstLine="633"/>
        <w:spacing w:after="0" w:line="261" w:lineRule="auto"/>
        <w:tabs>
          <w:tab w:leader="none" w:pos="12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Physical Notes</w:t>
      </w:r>
      <w:r>
        <w:rPr>
          <w:rFonts w:ascii="Times New Roman" w:cs="Times New Roman" w:eastAsia="Times New Roman" w:hAnsi="Times New Roman"/>
          <w:sz w:val="17"/>
          <w:szCs w:val="17"/>
          <w:color w:val="auto"/>
        </w:rPr>
        <w:t>. The Company will pay, or cause the Paying Agent to pay, the principal (whether due upon maturity on the Maturity Date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177"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2.05.</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ccrual of</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nterest</w:t>
      </w:r>
      <w:r>
        <w:rPr>
          <w:rFonts w:ascii="Times New Roman" w:cs="Times New Roman" w:eastAsia="Times New Roman" w:hAnsi="Times New Roman"/>
          <w:sz w:val="17"/>
          <w:szCs w:val="17"/>
          <w:b w:val="1"/>
          <w:bCs w:val="1"/>
          <w:color w:val="auto"/>
        </w:rPr>
        <w:t>; D</w:t>
      </w:r>
      <w:r>
        <w:rPr>
          <w:rFonts w:ascii="Times New Roman" w:cs="Times New Roman" w:eastAsia="Times New Roman" w:hAnsi="Times New Roman"/>
          <w:sz w:val="11"/>
          <w:szCs w:val="11"/>
          <w:b w:val="1"/>
          <w:bCs w:val="1"/>
          <w:color w:val="auto"/>
        </w:rPr>
        <w:t>efaulted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mounts</w:t>
      </w:r>
      <w:r>
        <w:rPr>
          <w:rFonts w:ascii="Times New Roman" w:cs="Times New Roman" w:eastAsia="Times New Roman" w:hAnsi="Times New Roman"/>
          <w:sz w:val="17"/>
          <w:szCs w:val="17"/>
          <w:b w:val="1"/>
          <w:bCs w:val="1"/>
          <w:color w:val="auto"/>
        </w:rPr>
        <w:t>; W</w:t>
      </w:r>
      <w:r>
        <w:rPr>
          <w:rFonts w:ascii="Times New Roman" w:cs="Times New Roman" w:eastAsia="Times New Roman" w:hAnsi="Times New Roman"/>
          <w:sz w:val="11"/>
          <w:szCs w:val="11"/>
          <w:b w:val="1"/>
          <w:bCs w:val="1"/>
          <w:color w:val="auto"/>
        </w:rPr>
        <w:t>hen</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ate is</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 a</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usiness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62"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Accrual of Interest</w:t>
      </w:r>
      <w:r>
        <w:rPr>
          <w:rFonts w:ascii="Times New Roman" w:cs="Times New Roman" w:eastAsia="Times New Roman" w:hAnsi="Times New Roman"/>
          <w:sz w:val="17"/>
          <w:szCs w:val="17"/>
          <w:color w:val="auto"/>
        </w:rPr>
        <w:t>. Each Note will accrue interest at a rate per annum equal to 7.95% (the “</w:t>
      </w:r>
      <w:r>
        <w:rPr>
          <w:rFonts w:ascii="Times New Roman" w:cs="Times New Roman" w:eastAsia="Times New Roman" w:hAnsi="Times New Roman"/>
          <w:sz w:val="17"/>
          <w:szCs w:val="17"/>
          <w:b w:val="1"/>
          <w:bCs w:val="1"/>
          <w:color w:val="auto"/>
        </w:rPr>
        <w:t>Stated Interest</w:t>
      </w:r>
      <w:r>
        <w:rPr>
          <w:rFonts w:ascii="Times New Roman" w:cs="Times New Roman" w:eastAsia="Times New Roman" w:hAnsi="Times New Roman"/>
          <w:sz w:val="17"/>
          <w:szCs w:val="17"/>
          <w:color w:val="auto"/>
        </w:rPr>
        <w:t>”), plus any Additional Interest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may accrue pursuant to </w:t>
      </w:r>
      <w:r>
        <w:rPr>
          <w:rFonts w:ascii="Times New Roman" w:cs="Times New Roman" w:eastAsia="Times New Roman" w:hAnsi="Times New Roman"/>
          <w:sz w:val="17"/>
          <w:szCs w:val="17"/>
          <w:b w:val="1"/>
          <w:bCs w:val="1"/>
          <w:color w:val="auto"/>
        </w:rPr>
        <w:t>Section 3.04</w:t>
      </w:r>
      <w:r>
        <w:rPr>
          <w:rFonts w:ascii="Times New Roman" w:cs="Times New Roman" w:eastAsia="Times New Roman" w:hAnsi="Times New Roman"/>
          <w:sz w:val="17"/>
          <w:szCs w:val="17"/>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cs="Times New Roman" w:eastAsia="Times New Roman" w:hAnsi="Times New Roman"/>
          <w:sz w:val="17"/>
          <w:szCs w:val="17"/>
          <w:b w:val="1"/>
          <w:bCs w:val="1"/>
          <w:color w:val="auto"/>
        </w:rPr>
        <w:t>Sections 4.02(D), 4.03(E)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5.02(D)</w:t>
      </w:r>
      <w:r>
        <w:rPr>
          <w:rFonts w:ascii="Times New Roman" w:cs="Times New Roman" w:eastAsia="Times New Roman" w:hAnsi="Times New Roman"/>
          <w:sz w:val="17"/>
          <w:szCs w:val="17"/>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on the Notes will be computed on the basis of a 360-day year comprised of twelve 30-day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65" w:name="page66"/>
    <w:bookmarkEnd w:id="65"/>
    <w:p>
      <w:pPr>
        <w:jc w:val="both"/>
        <w:ind w:left="-20" w:firstLine="633"/>
        <w:spacing w:after="0" w:line="262"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Defaulted Amounts</w:t>
      </w:r>
      <w:r>
        <w:rPr>
          <w:rFonts w:ascii="Times New Roman" w:cs="Times New Roman" w:eastAsia="Times New Roman" w:hAnsi="Times New Roman"/>
          <w:sz w:val="17"/>
          <w:szCs w:val="17"/>
          <w:color w:val="auto"/>
        </w:rPr>
        <w:t>. If the Company fails to pay any amount (a “</w:t>
      </w:r>
      <w:r>
        <w:rPr>
          <w:rFonts w:ascii="Times New Roman" w:cs="Times New Roman" w:eastAsia="Times New Roman" w:hAnsi="Times New Roman"/>
          <w:sz w:val="17"/>
          <w:szCs w:val="17"/>
          <w:b w:val="1"/>
          <w:bCs w:val="1"/>
          <w:color w:val="auto"/>
        </w:rPr>
        <w:t>Defaulted Amount</w:t>
      </w:r>
      <w:r>
        <w:rPr>
          <w:rFonts w:ascii="Times New Roman" w:cs="Times New Roman" w:eastAsia="Times New Roman" w:hAnsi="Times New Roman"/>
          <w:sz w:val="17"/>
          <w:szCs w:val="17"/>
          <w:color w:val="auto"/>
        </w:rPr>
        <w:t>”) payable on a Note on or before the due date therefor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72" w:lineRule="exact"/>
        <w:rPr>
          <w:rFonts w:ascii="Times New Roman" w:cs="Times New Roman" w:eastAsia="Times New Roman" w:hAnsi="Times New Roman"/>
          <w:sz w:val="17"/>
          <w:szCs w:val="17"/>
          <w:color w:val="auto"/>
        </w:rPr>
      </w:pPr>
    </w:p>
    <w:p>
      <w:pPr>
        <w:jc w:val="both"/>
        <w:ind w:left="-20" w:firstLine="633"/>
        <w:spacing w:after="0" w:line="270"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Delay of Payment when Payment Date is Not a Business Day</w:t>
      </w:r>
      <w:r>
        <w:rPr>
          <w:rFonts w:ascii="Times New Roman" w:cs="Times New Roman" w:eastAsia="Times New Roman" w:hAnsi="Times New Roman"/>
          <w:sz w:val="17"/>
          <w:szCs w:val="17"/>
          <w:color w:val="auto"/>
        </w:rPr>
        <w:t>. If the due date for a payment on a Note as provided in this Indenture is not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67"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2.06.</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egistrar</w:t>
      </w:r>
      <w:r>
        <w:rPr>
          <w:rFonts w:ascii="Times New Roman" w:cs="Times New Roman" w:eastAsia="Times New Roman" w:hAnsi="Times New Roman"/>
          <w:sz w:val="17"/>
          <w:szCs w:val="17"/>
          <w:b w:val="1"/>
          <w:bCs w:val="1"/>
          <w:color w:val="auto"/>
        </w:rPr>
        <w:t>, P</w:t>
      </w:r>
      <w:r>
        <w:rPr>
          <w:rFonts w:ascii="Times New Roman" w:cs="Times New Roman" w:eastAsia="Times New Roman" w:hAnsi="Times New Roman"/>
          <w:sz w:val="11"/>
          <w:szCs w:val="11"/>
          <w:b w:val="1"/>
          <w:bCs w:val="1"/>
          <w:color w:val="auto"/>
        </w:rPr>
        <w:t>aying</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63"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The Company will maintain (i) an office or agency in the continental United States where Notes may be presented for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transfer or for exchange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(ii) an office or agency in the continental United States where Notes may be presented for payment (the “</w:t>
      </w:r>
      <w:r>
        <w:rPr>
          <w:rFonts w:ascii="Times New Roman" w:cs="Times New Roman" w:eastAsia="Times New Roman" w:hAnsi="Times New Roman"/>
          <w:sz w:val="17"/>
          <w:szCs w:val="17"/>
          <w:b w:val="1"/>
          <w:bCs w:val="1"/>
          <w:color w:val="auto"/>
        </w:rPr>
        <w:t>Paying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and (iii) an office or agency in the continental United States where Notes may be presented for conversion (the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If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cs="Times New Roman" w:eastAsia="Times New Roman" w:hAnsi="Times New Roman"/>
          <w:sz w:val="17"/>
          <w:szCs w:val="17"/>
          <w:b w:val="1"/>
          <w:bCs w:val="1"/>
          <w:color w:val="auto"/>
        </w:rPr>
        <w:t>Section 2.06(A)</w:t>
      </w:r>
      <w:r>
        <w:rPr>
          <w:rFonts w:ascii="Times New Roman" w:cs="Times New Roman" w:eastAsia="Times New Roman" w:hAnsi="Times New Roman"/>
          <w:sz w:val="17"/>
          <w:szCs w:val="17"/>
          <w:color w:val="auto"/>
        </w:rPr>
        <w:t>, each of the Registrar, Paying Agent and Conversion Agent with respect to any Global Note must at all times be a Person that is eligible to act in that capacity under the Depositary Procedures.</w:t>
      </w:r>
    </w:p>
    <w:p>
      <w:pPr>
        <w:spacing w:after="0" w:line="175" w:lineRule="exact"/>
        <w:rPr>
          <w:rFonts w:ascii="Times New Roman" w:cs="Times New Roman" w:eastAsia="Times New Roman" w:hAnsi="Times New Roman"/>
          <w:sz w:val="17"/>
          <w:szCs w:val="17"/>
          <w:color w:val="auto"/>
        </w:rPr>
      </w:pPr>
    </w:p>
    <w:p>
      <w:pPr>
        <w:jc w:val="both"/>
        <w:ind w:left="-20" w:firstLine="633"/>
        <w:spacing w:after="0" w:line="270"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Duties of the Registrar</w:t>
      </w:r>
      <w:r>
        <w:rPr>
          <w:rFonts w:ascii="Times New Roman" w:cs="Times New Roman" w:eastAsia="Times New Roman" w:hAnsi="Times New Roman"/>
          <w:sz w:val="17"/>
          <w:szCs w:val="17"/>
          <w:color w:val="auto"/>
        </w:rPr>
        <w:t>. The Registrar will keep a record (the “</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of the names and addresses of the Holders, the Notes held by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and the transfer, exchange, repurchase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67" w:lineRule="exact"/>
        <w:rPr>
          <w:rFonts w:ascii="Times New Roman" w:cs="Times New Roman" w:eastAsia="Times New Roman" w:hAnsi="Times New Roman"/>
          <w:sz w:val="17"/>
          <w:szCs w:val="17"/>
          <w:color w:val="auto"/>
        </w:rPr>
      </w:pPr>
    </w:p>
    <w:p>
      <w:pPr>
        <w:jc w:val="both"/>
        <w:ind w:left="-20" w:firstLine="633"/>
        <w:spacing w:after="0" w:line="265"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Co-Agents; Company’s Right to Appoint Successor Registrars, Paying Agents and Conversion Agents</w:t>
      </w:r>
      <w:r>
        <w:rPr>
          <w:rFonts w:ascii="Times New Roman" w:cs="Times New Roman" w:eastAsia="Times New Roman" w:hAnsi="Times New Roman"/>
          <w:sz w:val="17"/>
          <w:szCs w:val="17"/>
          <w:color w:val="auto"/>
        </w:rPr>
        <w:t>. The Company may appoint one or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17"/>
          <w:szCs w:val="17"/>
          <w:b w:val="1"/>
          <w:bCs w:val="1"/>
          <w:color w:val="auto"/>
        </w:rPr>
        <w:t>Section 2.06(A)</w:t>
      </w:r>
      <w:r>
        <w:rPr>
          <w:rFonts w:ascii="Times New Roman" w:cs="Times New Roman" w:eastAsia="Times New Roman" w:hAnsi="Times New Roman"/>
          <w:sz w:val="17"/>
          <w:szCs w:val="17"/>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70"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 Appointments</w:t>
      </w:r>
      <w:r>
        <w:rPr>
          <w:rFonts w:ascii="Times New Roman" w:cs="Times New Roman" w:eastAsia="Times New Roman" w:hAnsi="Times New Roman"/>
          <w:sz w:val="17"/>
          <w:szCs w:val="17"/>
          <w:color w:val="auto"/>
        </w:rPr>
        <w:t>. The Company appoints the Trustee as the initial Paying Agent, the initial Registrar and the initial Conversion Agent.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66" w:name="page67"/>
    <w:bookmarkEnd w:id="66"/>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2.07.</w:t>
      </w:r>
      <w:r>
        <w:rPr>
          <w:sz w:val="20"/>
          <w:szCs w:val="20"/>
          <w:color w:val="auto"/>
        </w:rPr>
        <w:tab/>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aying</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 to</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roperty in</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0" w:lineRule="auto"/>
        <w:rPr>
          <w:sz w:val="20"/>
          <w:szCs w:val="20"/>
          <w:color w:val="auto"/>
        </w:rPr>
      </w:pPr>
      <w:r>
        <w:rPr>
          <w:rFonts w:ascii="Times New Roman" w:cs="Times New Roman" w:eastAsia="Times New Roman" w:hAnsi="Times New Roman"/>
          <w:sz w:val="17"/>
          <w:szCs w:val="17"/>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7"/>
          <w:szCs w:val="17"/>
          <w:b w:val="1"/>
          <w:bCs w:val="1"/>
          <w:color w:val="auto"/>
        </w:rPr>
        <w:t>clause (ix)</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Section 7.01(A)</w:t>
      </w:r>
      <w:r>
        <w:rPr>
          <w:rFonts w:ascii="Times New Roman" w:cs="Times New Roman" w:eastAsia="Times New Roman" w:hAnsi="Times New Roman"/>
          <w:sz w:val="17"/>
          <w:szCs w:val="17"/>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178"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2.08.</w:t>
      </w:r>
      <w:r>
        <w:rPr>
          <w:sz w:val="20"/>
          <w:szCs w:val="20"/>
          <w:color w:val="auto"/>
        </w:rPr>
        <w:tab/>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1"/>
          <w:szCs w:val="11"/>
          <w:b w:val="1"/>
          <w:bCs w:val="1"/>
          <w:color w:val="auto"/>
        </w:rPr>
        <w:t>older</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ists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2.09.</w:t>
      </w:r>
      <w:r>
        <w:rPr>
          <w:sz w:val="20"/>
          <w:szCs w:val="20"/>
          <w:color w:val="auto"/>
        </w:rPr>
        <w:tab/>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egends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33"/>
        <w:spacing w:after="0" w:line="298" w:lineRule="auto"/>
        <w:tabs>
          <w:tab w:leader="none" w:pos="125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Global Note Legend</w:t>
      </w:r>
      <w:r>
        <w:rPr>
          <w:rFonts w:ascii="Times New Roman" w:cs="Times New Roman" w:eastAsia="Times New Roman" w:hAnsi="Times New Roman"/>
          <w:sz w:val="17"/>
          <w:szCs w:val="17"/>
          <w:color w:val="auto"/>
        </w:rPr>
        <w:t>. Each Global Note will bear the Global Note Legend (or any similar legend, not inconsistent with this Indenture, required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Depositary for such Global Note).</w:t>
      </w:r>
    </w:p>
    <w:p>
      <w:pPr>
        <w:spacing w:after="0" w:line="142"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Non-Affiliate Legend</w:t>
      </w:r>
      <w:r>
        <w:rPr>
          <w:rFonts w:ascii="Times New Roman" w:cs="Times New Roman" w:eastAsia="Times New Roman" w:hAnsi="Times New Roman"/>
          <w:sz w:val="17"/>
          <w:szCs w:val="17"/>
          <w:color w:val="auto"/>
        </w:rPr>
        <w:t>. Each Note will bear the Non-Affiliate Legend.</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Restricted Note Legend</w:t>
      </w:r>
      <w:r>
        <w:rPr>
          <w:rFonts w:ascii="Times New Roman" w:cs="Times New Roman" w:eastAsia="Times New Roman" w:hAnsi="Times New Roman"/>
          <w:sz w:val="17"/>
          <w:szCs w:val="17"/>
          <w:color w:val="auto"/>
        </w:rPr>
        <w:t>. Subject to the other provisions of this Indenture,</w:t>
      </w:r>
    </w:p>
    <w:p>
      <w:pPr>
        <w:spacing w:after="0" w:line="22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Note that is a Transfer-Restricted Security will bear the Restricted Note Legend; and</w:t>
      </w:r>
    </w:p>
    <w:p>
      <w:pPr>
        <w:spacing w:after="0" w:line="223" w:lineRule="exact"/>
        <w:rPr>
          <w:rFonts w:ascii="Times New Roman" w:cs="Times New Roman" w:eastAsia="Times New Roman" w:hAnsi="Times New Roman"/>
          <w:sz w:val="17"/>
          <w:szCs w:val="17"/>
          <w:color w:val="auto"/>
        </w:rPr>
      </w:pPr>
    </w:p>
    <w:p>
      <w:pPr>
        <w:jc w:val="both"/>
        <w:ind w:left="640" w:firstLine="621"/>
        <w:spacing w:after="0" w:line="266" w:lineRule="auto"/>
        <w:tabs>
          <w:tab w:leader="none" w:pos="189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17"/>
          <w:szCs w:val="17"/>
          <w:b w:val="1"/>
          <w:bCs w:val="1"/>
          <w:color w:val="auto"/>
        </w:rPr>
        <w:t>Section 2.09(C)(ii)</w:t>
      </w:r>
      <w:r>
        <w:rPr>
          <w:rFonts w:ascii="Times New Roman" w:cs="Times New Roman" w:eastAsia="Times New Roman" w:hAnsi="Times New Roman"/>
          <w:sz w:val="17"/>
          <w:szCs w:val="17"/>
          <w:color w:val="auto"/>
        </w:rPr>
        <w:t xml:space="preserve">), including pursuant to Section </w:t>
      </w:r>
      <w:r>
        <w:rPr>
          <w:rFonts w:ascii="Times New Roman" w:cs="Times New Roman" w:eastAsia="Times New Roman" w:hAnsi="Times New Roman"/>
          <w:sz w:val="17"/>
          <w:szCs w:val="17"/>
          <w:b w:val="1"/>
          <w:bCs w:val="1"/>
          <w:color w:val="auto"/>
        </w:rPr>
        <w:t>2.10(B)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2.10(C)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2.12</w:t>
      </w:r>
      <w:r>
        <w:rPr>
          <w:rFonts w:ascii="Times New Roman" w:cs="Times New Roman" w:eastAsia="Times New Roman" w:hAnsi="Times New Roman"/>
          <w:sz w:val="17"/>
          <w:szCs w:val="17"/>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Note need not bear the Restricted Note Legend if such Note does not constitute a Transfer-Restricted Security immediately after such exchange or substitution, or as of such Conversion Date, as applicable.</w:t>
      </w:r>
    </w:p>
    <w:p>
      <w:pPr>
        <w:spacing w:after="0" w:line="170"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Legends</w:t>
      </w:r>
      <w:r>
        <w:rPr>
          <w:rFonts w:ascii="Times New Roman" w:cs="Times New Roman" w:eastAsia="Times New Roman" w:hAnsi="Times New Roman"/>
          <w:sz w:val="17"/>
          <w:szCs w:val="17"/>
          <w:color w:val="auto"/>
        </w:rPr>
        <w:t>. A Note may bear any other legend or text, not inconsistent with this Indenture, as may be required by applicable law or by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exchange or automated quotation system on which such Note is traded or quoted.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7" w:name="page68"/>
    <w:bookmarkEnd w:id="67"/>
    <w:p>
      <w:pPr>
        <w:ind w:left="-20" w:firstLine="633"/>
        <w:spacing w:after="0" w:line="298" w:lineRule="auto"/>
        <w:tabs>
          <w:tab w:leader="none" w:pos="12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Acknowledgment and Agreement by the Holders</w:t>
      </w:r>
      <w:r>
        <w:rPr>
          <w:rFonts w:ascii="Times New Roman" w:cs="Times New Roman" w:eastAsia="Times New Roman" w:hAnsi="Times New Roman"/>
          <w:sz w:val="17"/>
          <w:szCs w:val="17"/>
          <w:color w:val="auto"/>
        </w:rPr>
        <w:t>. A Holder’s acceptance of any Note bearing any legend required by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such Holder’s acknowledgment of, and agreement to comply with, the restrictions set forth in such legend.</w:t>
      </w:r>
    </w:p>
    <w:p>
      <w:pPr>
        <w:spacing w:after="0" w:line="142"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Restricted Stock Legend</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Conversion Share need not bear the Restricted Stock Legend if the Company determines, in its reasonable discretion, that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Conversion Share need not bear the Restricted Stock Legend.</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Section 2.09(F)</w:t>
      </w:r>
      <w:r>
        <w:rPr>
          <w:rFonts w:ascii="Times New Roman" w:cs="Times New Roman" w:eastAsia="Times New Roman" w:hAnsi="Times New Roman"/>
          <w:sz w:val="17"/>
          <w:szCs w:val="17"/>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67"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2.10.</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ransfers and</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xchanges</w:t>
      </w:r>
      <w:r>
        <w:rPr>
          <w:rFonts w:ascii="Times New Roman" w:cs="Times New Roman" w:eastAsia="Times New Roman" w:hAnsi="Times New Roman"/>
          <w:sz w:val="17"/>
          <w:szCs w:val="17"/>
          <w:b w:val="1"/>
          <w:bCs w:val="1"/>
          <w:color w:val="auto"/>
        </w:rPr>
        <w:t>; C</w:t>
      </w:r>
      <w:r>
        <w:rPr>
          <w:rFonts w:ascii="Times New Roman" w:cs="Times New Roman" w:eastAsia="Times New Roman" w:hAnsi="Times New Roman"/>
          <w:sz w:val="11"/>
          <w:szCs w:val="11"/>
          <w:b w:val="1"/>
          <w:bCs w:val="1"/>
          <w:color w:val="auto"/>
        </w:rPr>
        <w:t>ertain</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ransfer</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estrictions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40" w:hanging="627"/>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Provisions Applicable to All Transfers and Exchanges</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620" w:firstLine="621"/>
        <w:spacing w:after="0" w:line="298" w:lineRule="auto"/>
        <w:tabs>
          <w:tab w:leader="none" w:pos="187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Subject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2.10</w:t>
      </w:r>
      <w:r>
        <w:rPr>
          <w:rFonts w:ascii="Times New Roman" w:cs="Times New Roman" w:eastAsia="Times New Roman" w:hAnsi="Times New Roman"/>
          <w:sz w:val="17"/>
          <w:szCs w:val="17"/>
          <w:color w:val="auto"/>
        </w:rPr>
        <w:t>, Physical Notes and beneficial interests in Global Notes may be transferred or exchanged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time to time and the Registrar will record each such transfer or exchange in the Register.</w:t>
      </w:r>
    </w:p>
    <w:p>
      <w:pPr>
        <w:spacing w:after="0" w:line="142"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Transferred and Exchanged Notes Remain Valid Obligations of the Company</w:t>
      </w:r>
      <w:r>
        <w:rPr>
          <w:rFonts w:ascii="Times New Roman" w:cs="Times New Roman" w:eastAsia="Times New Roman" w:hAnsi="Times New Roman"/>
          <w:sz w:val="17"/>
          <w:szCs w:val="17"/>
          <w:color w:val="auto"/>
        </w:rPr>
        <w:t>. Each Note issued upon transfer or exchange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 Note (such other Note being referred to as the “old Note” for purposes of this </w:t>
      </w:r>
      <w:r>
        <w:rPr>
          <w:rFonts w:ascii="Times New Roman" w:cs="Times New Roman" w:eastAsia="Times New Roman" w:hAnsi="Times New Roman"/>
          <w:sz w:val="17"/>
          <w:szCs w:val="17"/>
          <w:b w:val="1"/>
          <w:bCs w:val="1"/>
          <w:color w:val="auto"/>
        </w:rPr>
        <w:t>Section 2.10(A)(ii)</w:t>
      </w:r>
      <w:r>
        <w:rPr>
          <w:rFonts w:ascii="Times New Roman" w:cs="Times New Roman" w:eastAsia="Times New Roman" w:hAnsi="Times New Roman"/>
          <w:sz w:val="17"/>
          <w:szCs w:val="17"/>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67"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Services Charge; Transfer Taxes</w:t>
      </w:r>
      <w:r>
        <w:rPr>
          <w:rFonts w:ascii="Times New Roman" w:cs="Times New Roman" w:eastAsia="Times New Roman" w:hAnsi="Times New Roman"/>
          <w:sz w:val="17"/>
          <w:szCs w:val="17"/>
          <w:color w:val="auto"/>
        </w:rPr>
        <w:t>. The Company, the Trustee and the Note Agents will not impose any service charge on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17"/>
          <w:szCs w:val="17"/>
          <w:b w:val="1"/>
          <w:bCs w:val="1"/>
          <w:color w:val="auto"/>
        </w:rPr>
        <w:t>Section 2.11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2.16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8.05</w:t>
      </w:r>
      <w:r>
        <w:rPr>
          <w:rFonts w:ascii="Times New Roman" w:cs="Times New Roman" w:eastAsia="Times New Roman" w:hAnsi="Times New Roman"/>
          <w:sz w:val="17"/>
          <w:szCs w:val="17"/>
          <w:color w:val="auto"/>
        </w:rPr>
        <w:t xml:space="preserve"> not involving any transfer.</w:t>
      </w:r>
    </w:p>
    <w:p>
      <w:pPr>
        <w:spacing w:after="0" w:line="167" w:lineRule="exact"/>
        <w:rPr>
          <w:rFonts w:ascii="Times New Roman" w:cs="Times New Roman" w:eastAsia="Times New Roman" w:hAnsi="Times New Roman"/>
          <w:sz w:val="17"/>
          <w:szCs w:val="17"/>
          <w:color w:val="auto"/>
        </w:rPr>
      </w:pPr>
    </w:p>
    <w:p>
      <w:pPr>
        <w:ind w:left="620" w:firstLine="621"/>
        <w:spacing w:after="0" w:line="298" w:lineRule="auto"/>
        <w:tabs>
          <w:tab w:leader="none" w:pos="187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Transfers and Exchanges Must Be in Authorized Denominations</w:t>
      </w:r>
      <w:r>
        <w:rPr>
          <w:rFonts w:ascii="Times New Roman" w:cs="Times New Roman" w:eastAsia="Times New Roman" w:hAnsi="Times New Roman"/>
          <w:sz w:val="17"/>
          <w:szCs w:val="17"/>
          <w:color w:val="auto"/>
        </w:rPr>
        <w:t>. Notwithstanding anything to the contrary in this Indenture 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a Note may not be transferred or exchanged in part unless the portion to be so transferred or exchanged is in an Authorized Denomination.</w:t>
      </w:r>
    </w:p>
    <w:p>
      <w:pPr>
        <w:spacing w:after="0" w:line="142"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Trustee’s Disclaimer</w:t>
      </w:r>
      <w:r>
        <w:rPr>
          <w:rFonts w:ascii="Times New Roman" w:cs="Times New Roman" w:eastAsia="Times New Roman" w:hAnsi="Times New Roman"/>
          <w:sz w:val="17"/>
          <w:szCs w:val="17"/>
          <w:color w:val="auto"/>
        </w:rPr>
        <w:t>. The Trustee will have no obligation or duty to monitor, determine or inquire as to compliance with any transfer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68" w:name="page69"/>
    <w:bookmarkEnd w:id="68"/>
    <w:p>
      <w:pPr>
        <w:ind w:left="1247" w:hanging="619"/>
        <w:spacing w:after="0"/>
        <w:tabs>
          <w:tab w:leader="none" w:pos="124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Legends</w:t>
      </w:r>
      <w:r>
        <w:rPr>
          <w:rFonts w:ascii="Times New Roman" w:cs="Times New Roman" w:eastAsia="Times New Roman" w:hAnsi="Times New Roman"/>
          <w:sz w:val="17"/>
          <w:szCs w:val="17"/>
          <w:color w:val="auto"/>
        </w:rPr>
        <w:t>. Each Note issued upon transfer of, or in exchange for, another Note will bear each legend, if any, required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jc w:val="both"/>
        <w:ind w:left="7" w:firstLine="621"/>
        <w:spacing w:after="0" w:line="277" w:lineRule="auto"/>
        <w:tabs>
          <w:tab w:leader="none" w:pos="126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Settlement of Transfers and Exchanges</w:t>
      </w:r>
      <w:r>
        <w:rPr>
          <w:rFonts w:ascii="Times New Roman" w:cs="Times New Roman" w:eastAsia="Times New Roman" w:hAnsi="Times New Roman"/>
          <w:sz w:val="17"/>
          <w:szCs w:val="17"/>
          <w:color w:val="auto"/>
        </w:rPr>
        <w:t>. Upon satisfaction of the requirements of this Indenture to effect a transfer or exchange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 the Company will cause such transfer or exchange to be effected as soon as reasonably practicable but in no event later than the second (2nd) Business Day after the date of such satisfaction.</w:t>
      </w:r>
    </w:p>
    <w:p>
      <w:pPr>
        <w:spacing w:after="0" w:line="160" w:lineRule="exact"/>
        <w:rPr>
          <w:rFonts w:ascii="Times New Roman" w:cs="Times New Roman" w:eastAsia="Times New Roman" w:hAnsi="Times New Roman"/>
          <w:sz w:val="17"/>
          <w:szCs w:val="17"/>
          <w:color w:val="auto"/>
        </w:rPr>
      </w:pPr>
    </w:p>
    <w:p>
      <w:pPr>
        <w:jc w:val="both"/>
        <w:ind w:left="7" w:firstLine="621"/>
        <w:spacing w:after="0" w:line="270" w:lineRule="auto"/>
        <w:tabs>
          <w:tab w:leader="none" w:pos="126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Interpretation</w:t>
      </w:r>
      <w:r>
        <w:rPr>
          <w:rFonts w:ascii="Times New Roman" w:cs="Times New Roman" w:eastAsia="Times New Roman" w:hAnsi="Times New Roman"/>
          <w:sz w:val="17"/>
          <w:szCs w:val="17"/>
          <w:color w:val="auto"/>
        </w:rPr>
        <w:t>. For the avoidance of doubt, and subject to the terms of this Indenture, as used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2.10</w:t>
      </w:r>
      <w:r>
        <w:rPr>
          <w:rFonts w:ascii="Times New Roman" w:cs="Times New Roman" w:eastAsia="Times New Roman" w:hAnsi="Times New Roman"/>
          <w:sz w:val="17"/>
          <w:szCs w:val="17"/>
          <w:color w:val="auto"/>
        </w:rPr>
        <w:t>, an “exchange”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67" w:lineRule="exact"/>
        <w:rPr>
          <w:rFonts w:ascii="Times New Roman" w:cs="Times New Roman" w:eastAsia="Times New Roman" w:hAnsi="Times New Roman"/>
          <w:sz w:val="17"/>
          <w:szCs w:val="17"/>
          <w:color w:val="auto"/>
        </w:rPr>
      </w:pPr>
    </w:p>
    <w:p>
      <w:pPr>
        <w:ind w:left="627" w:hanging="627"/>
        <w:spacing w:after="0"/>
        <w:tabs>
          <w:tab w:leader="none" w:pos="62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Transfers and Exchanges of Global Notes.</w:t>
      </w:r>
    </w:p>
    <w:p>
      <w:pPr>
        <w:spacing w:after="0" w:line="223" w:lineRule="exact"/>
        <w:rPr>
          <w:rFonts w:ascii="Times New Roman" w:cs="Times New Roman" w:eastAsia="Times New Roman" w:hAnsi="Times New Roman"/>
          <w:sz w:val="17"/>
          <w:szCs w:val="17"/>
          <w:color w:val="auto"/>
        </w:rPr>
      </w:pPr>
    </w:p>
    <w:p>
      <w:pPr>
        <w:jc w:val="both"/>
        <w:ind w:left="7" w:firstLine="621"/>
        <w:spacing w:after="0" w:line="267" w:lineRule="auto"/>
        <w:tabs>
          <w:tab w:leader="none" w:pos="1263"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Restrictions</w:t>
      </w:r>
      <w:r>
        <w:rPr>
          <w:rFonts w:ascii="Times New Roman" w:cs="Times New Roman" w:eastAsia="Times New Roman" w:hAnsi="Times New Roman"/>
          <w:sz w:val="17"/>
          <w:szCs w:val="17"/>
          <w:color w:val="auto"/>
        </w:rPr>
        <w:t>. Subject to the immediately following sentence, no Global Note may be transferred or exchanged in whole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Global Note will be exchanged, pursuant to customary procedures, for one or more Physical Notes if:</w:t>
      </w:r>
    </w:p>
    <w:p>
      <w:pPr>
        <w:spacing w:after="0" w:line="170" w:lineRule="exact"/>
        <w:rPr>
          <w:rFonts w:ascii="Times New Roman" w:cs="Times New Roman" w:eastAsia="Times New Roman" w:hAnsi="Times New Roman"/>
          <w:sz w:val="17"/>
          <w:szCs w:val="17"/>
          <w:color w:val="auto"/>
        </w:rPr>
      </w:pPr>
    </w:p>
    <w:p>
      <w:pPr>
        <w:jc w:val="both"/>
        <w:ind w:left="7" w:firstLine="1249"/>
        <w:spacing w:after="0" w:line="276" w:lineRule="auto"/>
        <w:tabs>
          <w:tab w:leader="none" w:pos="1891"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62" w:lineRule="exact"/>
        <w:rPr>
          <w:rFonts w:ascii="Times New Roman" w:cs="Times New Roman" w:eastAsia="Times New Roman" w:hAnsi="Times New Roman"/>
          <w:sz w:val="17"/>
          <w:szCs w:val="17"/>
          <w:color w:val="auto"/>
        </w:rPr>
      </w:pPr>
    </w:p>
    <w:p>
      <w:pPr>
        <w:jc w:val="both"/>
        <w:ind w:left="7" w:firstLine="1249"/>
        <w:spacing w:after="0" w:line="276" w:lineRule="auto"/>
        <w:tabs>
          <w:tab w:leader="none" w:pos="1891"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62"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 its sole discretion, permits the exchange of any beneficial interest in such Global Note for one or more Physical Notes at the request of the owner of such beneficial interest.</w:t>
      </w:r>
    </w:p>
    <w:p>
      <w:pPr>
        <w:spacing w:after="0" w:line="143" w:lineRule="exact"/>
        <w:rPr>
          <w:rFonts w:ascii="Times New Roman" w:cs="Times New Roman" w:eastAsia="Times New Roman" w:hAnsi="Times New Roman"/>
          <w:sz w:val="17"/>
          <w:szCs w:val="17"/>
          <w:color w:val="auto"/>
        </w:rPr>
      </w:pPr>
    </w:p>
    <w:p>
      <w:pPr>
        <w:ind w:left="7" w:firstLine="621"/>
        <w:spacing w:after="0" w:line="298" w:lineRule="auto"/>
        <w:tabs>
          <w:tab w:leader="none" w:pos="1263"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Effecting Transfers and Exchanges</w:t>
      </w:r>
      <w:r>
        <w:rPr>
          <w:rFonts w:ascii="Times New Roman" w:cs="Times New Roman" w:eastAsia="Times New Roman" w:hAnsi="Times New Roman"/>
          <w:sz w:val="17"/>
          <w:szCs w:val="17"/>
          <w:color w:val="auto"/>
        </w:rPr>
        <w:t>. Upon satisfaction of the requirements of this Indenture to effect a transfer or exchange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Note (or any portion thereof):</w:t>
      </w:r>
    </w:p>
    <w:p>
      <w:pPr>
        <w:spacing w:after="0" w:line="144" w:lineRule="exact"/>
        <w:rPr>
          <w:rFonts w:ascii="Times New Roman" w:cs="Times New Roman" w:eastAsia="Times New Roman" w:hAnsi="Times New Roman"/>
          <w:sz w:val="17"/>
          <w:szCs w:val="17"/>
          <w:color w:val="auto"/>
        </w:rPr>
      </w:pPr>
    </w:p>
    <w:p>
      <w:pPr>
        <w:jc w:val="both"/>
        <w:ind w:left="7" w:firstLine="1249"/>
        <w:spacing w:after="0" w:line="276" w:lineRule="auto"/>
        <w:tabs>
          <w:tab w:leader="none" w:pos="1891"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17"/>
          <w:szCs w:val="17"/>
          <w:b w:val="1"/>
          <w:bCs w:val="1"/>
          <w:color w:val="auto"/>
        </w:rPr>
        <w:t>Section 2.14</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73" w:right="339" w:bottom="1440" w:gutter="0" w:footer="0" w:header="0"/>
        </w:sectPr>
      </w:pPr>
    </w:p>
    <w:bookmarkStart w:id="69" w:name="page70"/>
    <w:bookmarkEnd w:id="69"/>
    <w:p>
      <w:pPr>
        <w:ind w:left="7" w:firstLine="1249"/>
        <w:spacing w:after="0" w:line="296" w:lineRule="auto"/>
        <w:tabs>
          <w:tab w:leader="none" w:pos="1891"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45"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a new Global Note bearing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 and</w:t>
      </w:r>
    </w:p>
    <w:p>
      <w:pPr>
        <w:spacing w:after="0" w:line="145" w:lineRule="exact"/>
        <w:rPr>
          <w:rFonts w:ascii="Times New Roman" w:cs="Times New Roman" w:eastAsia="Times New Roman" w:hAnsi="Times New Roman"/>
          <w:sz w:val="17"/>
          <w:szCs w:val="17"/>
          <w:color w:val="auto"/>
        </w:rPr>
      </w:pPr>
    </w:p>
    <w:p>
      <w:pPr>
        <w:jc w:val="both"/>
        <w:ind w:left="7" w:firstLine="1249"/>
        <w:spacing w:after="0" w:line="262" w:lineRule="auto"/>
        <w:tabs>
          <w:tab w:leader="none" w:pos="1891"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w:t>
      </w:r>
    </w:p>
    <w:p>
      <w:pPr>
        <w:spacing w:after="0" w:line="1" w:lineRule="exact"/>
        <w:rPr>
          <w:rFonts w:ascii="Times New Roman" w:cs="Times New Roman" w:eastAsia="Times New Roman" w:hAnsi="Times New Roman"/>
          <w:sz w:val="17"/>
          <w:szCs w:val="17"/>
          <w:color w:val="auto"/>
        </w:rPr>
      </w:pPr>
    </w:p>
    <w:p>
      <w:pPr>
        <w:ind w:left="227" w:hanging="227"/>
        <w:spacing w:after="0"/>
        <w:tabs>
          <w:tab w:leader="none" w:pos="22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bear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7" w:firstLine="621"/>
        <w:spacing w:after="0" w:line="298" w:lineRule="auto"/>
        <w:tabs>
          <w:tab w:leader="none" w:pos="1263"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with Depositary Procedures</w:t>
      </w:r>
      <w:r>
        <w:rPr>
          <w:rFonts w:ascii="Times New Roman" w:cs="Times New Roman" w:eastAsia="Times New Roman" w:hAnsi="Times New Roman"/>
          <w:sz w:val="17"/>
          <w:szCs w:val="17"/>
          <w:color w:val="auto"/>
        </w:rPr>
        <w:t>. Each transfer or exchange of a beneficial interest in any Global Note will be made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the Depositary Procedures.</w:t>
      </w:r>
    </w:p>
    <w:p>
      <w:pPr>
        <w:spacing w:after="0" w:line="143" w:lineRule="exact"/>
        <w:rPr>
          <w:sz w:val="20"/>
          <w:szCs w:val="20"/>
          <w:color w:val="auto"/>
        </w:rPr>
      </w:pPr>
    </w:p>
    <w:p>
      <w:pPr>
        <w:ind w:left="627" w:hanging="627"/>
        <w:spacing w:after="0"/>
        <w:tabs>
          <w:tab w:leader="none" w:pos="62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Transfers and Exchanges of Physical Notes.</w:t>
      </w:r>
    </w:p>
    <w:p>
      <w:pPr>
        <w:spacing w:after="0" w:line="223" w:lineRule="exact"/>
        <w:rPr>
          <w:rFonts w:ascii="Times New Roman" w:cs="Times New Roman" w:eastAsia="Times New Roman" w:hAnsi="Times New Roman"/>
          <w:sz w:val="17"/>
          <w:szCs w:val="17"/>
          <w:color w:val="auto"/>
        </w:rPr>
      </w:pPr>
    </w:p>
    <w:p>
      <w:pPr>
        <w:jc w:val="both"/>
        <w:ind w:left="7" w:firstLine="621"/>
        <w:spacing w:after="0" w:line="265" w:lineRule="auto"/>
        <w:tabs>
          <w:tab w:leader="none" w:pos="1263"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Requirements for Transfers and Exchanges</w:t>
      </w:r>
      <w:r>
        <w:rPr>
          <w:rFonts w:ascii="Times New Roman" w:cs="Times New Roman" w:eastAsia="Times New Roman" w:hAnsi="Times New Roman"/>
          <w:sz w:val="17"/>
          <w:szCs w:val="17"/>
          <w:color w:val="auto"/>
        </w:rPr>
        <w:t>. Subject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2.10</w:t>
      </w:r>
      <w:r>
        <w:rPr>
          <w:rFonts w:ascii="Times New Roman" w:cs="Times New Roman" w:eastAsia="Times New Roman" w:hAnsi="Times New Roman"/>
          <w:sz w:val="17"/>
          <w:szCs w:val="17"/>
          <w:color w:val="auto"/>
        </w:rPr>
        <w:t>, a Holder of a Physical Note may (x) transfer such Physical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to effect any such transfer or exchange, such Holder must:</w:t>
      </w:r>
    </w:p>
    <w:p>
      <w:pPr>
        <w:spacing w:after="0" w:line="172"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such Physical Note to be transferred or exchanged to the office of the Registrar, together with any endorsements or transfer instruments reasonably required by the Company, the Trustee or the Registrar; and</w:t>
      </w:r>
    </w:p>
    <w:p>
      <w:pPr>
        <w:spacing w:after="0" w:line="143"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such certificates, documentation or evidence as may be required pursuant to </w:t>
      </w:r>
      <w:r>
        <w:rPr>
          <w:rFonts w:ascii="Times New Roman" w:cs="Times New Roman" w:eastAsia="Times New Roman" w:hAnsi="Times New Roman"/>
          <w:sz w:val="17"/>
          <w:szCs w:val="17"/>
          <w:b w:val="1"/>
          <w:bCs w:val="1"/>
          <w:color w:val="auto"/>
        </w:rPr>
        <w:t>Section 2.10(D)</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jc w:val="both"/>
        <w:ind w:left="7" w:firstLine="621"/>
        <w:spacing w:after="0" w:line="277" w:lineRule="auto"/>
        <w:tabs>
          <w:tab w:leader="none" w:pos="1263"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Effecting Transfers and Exchanges</w:t>
      </w:r>
      <w:r>
        <w:rPr>
          <w:rFonts w:ascii="Times New Roman" w:cs="Times New Roman" w:eastAsia="Times New Roman" w:hAnsi="Times New Roman"/>
          <w:sz w:val="17"/>
          <w:szCs w:val="17"/>
          <w:color w:val="auto"/>
        </w:rPr>
        <w:t>. Upon the satisfaction of the requirements of this Indenture to effect a transfer or exchange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Physical Note (such Physical Note being referred to as the “old Physical Note” for purposes of this </w:t>
      </w:r>
      <w:r>
        <w:rPr>
          <w:rFonts w:ascii="Times New Roman" w:cs="Times New Roman" w:eastAsia="Times New Roman" w:hAnsi="Times New Roman"/>
          <w:sz w:val="17"/>
          <w:szCs w:val="17"/>
          <w:b w:val="1"/>
          <w:bCs w:val="1"/>
          <w:color w:val="auto"/>
        </w:rPr>
        <w:t>Section 2.10(C)(ii)</w:t>
      </w:r>
      <w:r>
        <w:rPr>
          <w:rFonts w:ascii="Times New Roman" w:cs="Times New Roman" w:eastAsia="Times New Roman" w:hAnsi="Times New Roman"/>
          <w:sz w:val="17"/>
          <w:szCs w:val="17"/>
          <w:color w:val="auto"/>
        </w:rPr>
        <w:t>) of a Holder (or any portion of such old Physical Note in an Authorized Denomination):</w:t>
      </w:r>
    </w:p>
    <w:p>
      <w:pPr>
        <w:spacing w:after="0" w:line="160"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old Physical Note will be promptly cancelled pursuant to </w:t>
      </w:r>
      <w:r>
        <w:rPr>
          <w:rFonts w:ascii="Times New Roman" w:cs="Times New Roman" w:eastAsia="Times New Roman" w:hAnsi="Times New Roman"/>
          <w:sz w:val="17"/>
          <w:szCs w:val="17"/>
          <w:b w:val="1"/>
          <w:bCs w:val="1"/>
          <w:color w:val="auto"/>
        </w:rPr>
        <w:t>Section 2.14</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jc w:val="both"/>
        <w:ind w:left="7" w:firstLine="1249"/>
        <w:spacing w:after="0" w:line="270" w:lineRule="auto"/>
        <w:tabs>
          <w:tab w:leader="none" w:pos="1891"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75" w:right="339" w:bottom="1440" w:gutter="0" w:footer="0" w:header="0"/>
        </w:sectPr>
      </w:pPr>
    </w:p>
    <w:bookmarkStart w:id="70" w:name="page71"/>
    <w:bookmarkEnd w:id="70"/>
    <w:p>
      <w:pPr>
        <w:ind w:left="2520" w:hanging="631"/>
        <w:spacing w:after="0"/>
        <w:tabs>
          <w:tab w:leader="none" w:pos="2520"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w:t>
      </w:r>
    </w:p>
    <w:p>
      <w:pPr>
        <w:spacing w:after="0" w:line="223" w:lineRule="exact"/>
        <w:rPr>
          <w:rFonts w:ascii="Times New Roman" w:cs="Times New Roman" w:eastAsia="Times New Roman" w:hAnsi="Times New Roman"/>
          <w:sz w:val="17"/>
          <w:szCs w:val="17"/>
          <w:color w:val="auto"/>
        </w:rPr>
      </w:pPr>
    </w:p>
    <w:p>
      <w:pPr>
        <w:jc w:val="both"/>
        <w:ind w:left="1880" w:firstLine="637"/>
        <w:spacing w:after="0" w:line="260" w:lineRule="auto"/>
        <w:tabs>
          <w:tab w:leader="none" w:pos="3136" w:val="left"/>
        </w:tabs>
        <w:numPr>
          <w:ilvl w:val="3"/>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7"/>
          <w:szCs w:val="17"/>
          <w:b w:val="1"/>
          <w:bCs w:val="1"/>
          <w:color w:val="auto"/>
        </w:rPr>
        <w:t xml:space="preserve">Section 2.09 </w:t>
      </w:r>
      <w:r>
        <w:rPr>
          <w:rFonts w:ascii="Times New Roman" w:cs="Times New Roman" w:eastAsia="Times New Roman" w:hAnsi="Times New Roman"/>
          <w:sz w:val="17"/>
          <w:szCs w:val="17"/>
          <w:color w:val="auto"/>
        </w:rPr>
        <w:t>then exist, because any such increase will result in any Global Note having an aggregate principal amount exceeding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 and</w:t>
      </w:r>
    </w:p>
    <w:p>
      <w:pPr>
        <w:spacing w:after="0" w:line="182" w:lineRule="exact"/>
        <w:rPr>
          <w:rFonts w:ascii="Times New Roman" w:cs="Times New Roman" w:eastAsia="Times New Roman" w:hAnsi="Times New Roman"/>
          <w:sz w:val="17"/>
          <w:szCs w:val="17"/>
          <w:color w:val="auto"/>
        </w:rPr>
      </w:pPr>
    </w:p>
    <w:p>
      <w:pPr>
        <w:jc w:val="both"/>
        <w:ind w:left="1880" w:firstLine="637"/>
        <w:spacing w:after="0" w:line="266" w:lineRule="auto"/>
        <w:tabs>
          <w:tab w:leader="none" w:pos="3136" w:val="left"/>
        </w:tabs>
        <w:numPr>
          <w:ilvl w:val="3"/>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 and</w:t>
      </w:r>
    </w:p>
    <w:p>
      <w:pPr>
        <w:spacing w:after="0" w:line="172" w:lineRule="exact"/>
        <w:rPr>
          <w:rFonts w:ascii="Times New Roman" w:cs="Times New Roman" w:eastAsia="Times New Roman" w:hAnsi="Times New Roman"/>
          <w:sz w:val="17"/>
          <w:szCs w:val="17"/>
          <w:color w:val="auto"/>
        </w:rPr>
      </w:pPr>
    </w:p>
    <w:p>
      <w:pPr>
        <w:jc w:val="both"/>
        <w:ind w:left="640" w:firstLine="1249"/>
        <w:spacing w:after="0" w:line="270" w:lineRule="auto"/>
        <w:tabs>
          <w:tab w:leader="none" w:pos="2524"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Requirement to Deliver Documentation and Other Evidence</w:t>
      </w:r>
      <w:r>
        <w:rPr>
          <w:rFonts w:ascii="Times New Roman" w:cs="Times New Roman" w:eastAsia="Times New Roman" w:hAnsi="Times New Roman"/>
          <w:sz w:val="17"/>
          <w:szCs w:val="17"/>
          <w:color w:val="auto"/>
        </w:rPr>
        <w:t>. If a Holder of any Note that is identified by a “restricted” CUSIP number or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bears a Restricted Note Legend or is a Transfer-Restricted Security requests to:</w:t>
      </w:r>
    </w:p>
    <w:p>
      <w:pPr>
        <w:spacing w:after="0" w:line="144"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such Note to be identified by an “unrestricted” CUSIP number;</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 such Restricted Note Legend; or</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of such Note to the name of another Person,</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for the Company to determine that such identification, removal or transfer, as applicable, complies with the Securities Act and other applicable securities laws;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without limiting </w:t>
      </w:r>
      <w:r>
        <w:rPr>
          <w:rFonts w:ascii="Times New Roman" w:cs="Times New Roman" w:eastAsia="Times New Roman" w:hAnsi="Times New Roman"/>
          <w:sz w:val="17"/>
          <w:szCs w:val="17"/>
          <w:b w:val="1"/>
          <w:bCs w:val="1"/>
          <w:color w:val="auto"/>
        </w:rPr>
        <w:t>Section 2.10(E)</w:t>
      </w:r>
      <w:r>
        <w:rPr>
          <w:rFonts w:ascii="Times New Roman" w:cs="Times New Roman" w:eastAsia="Times New Roman" w:hAnsi="Times New Roman"/>
          <w:sz w:val="17"/>
          <w:szCs w:val="17"/>
          <w:color w:val="auto"/>
        </w:rPr>
        <w:t xml:space="preserve">, no such certificates, documentation or evidence (other than, in the case of the following clause (w), a written request in the form contemplated by </w:t>
      </w:r>
      <w:r>
        <w:rPr>
          <w:rFonts w:ascii="Times New Roman" w:cs="Times New Roman" w:eastAsia="Times New Roman" w:hAnsi="Times New Roman"/>
          <w:sz w:val="17"/>
          <w:szCs w:val="17"/>
          <w:b w:val="1"/>
          <w:bCs w:val="1"/>
          <w:color w:val="auto"/>
        </w:rPr>
        <w:t>Section 2.10(E)</w:t>
      </w:r>
      <w:r>
        <w:rPr>
          <w:rFonts w:ascii="Times New Roman" w:cs="Times New Roman" w:eastAsia="Times New Roman" w:hAnsi="Times New Roman"/>
          <w:sz w:val="17"/>
          <w:szCs w:val="17"/>
          <w:color w:val="auto"/>
        </w:rPr>
        <w:t>) need be so delivered (w) on or and after the date that is six (6) months after the Last Original Issue Date of such Note if the requirements of Rule 144(c) and (i) are then satisfied with respect to the Company; (x) in connection with any transfer of a beneficial interest in a Global Note pursuant to Rule 144A; (y) in connection with any transfer of such Note to the Company or one of its Subsidiaries; or (z) in connection with any transfer of such Note pursuant to an effective registration statement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1" w:name="page72"/>
    <w:bookmarkEnd w:id="71"/>
    <w:p>
      <w:pPr>
        <w:jc w:val="both"/>
        <w:ind w:firstLine="633"/>
        <w:spacing w:after="0" w:line="264" w:lineRule="auto"/>
        <w:tabs>
          <w:tab w:leader="none" w:pos="125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De-Legending Procedures</w:t>
      </w:r>
      <w:r>
        <w:rPr>
          <w:rFonts w:ascii="Times New Roman" w:cs="Times New Roman" w:eastAsia="Times New Roman" w:hAnsi="Times New Roman"/>
          <w:sz w:val="17"/>
          <w:szCs w:val="17"/>
          <w:color w:val="auto"/>
        </w:rPr>
        <w:t>. If a Holder of any Note or share of Common Stock issued upon conversion of any Note, or an owner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beneficial interest in any Global Note, or in a global certificate representing any share of Common Stock issued upon conversion of any Note, transfers such Note or share in compliance with Rule 144 and delivers to the Company a written request, certifying that it is not, and has not been at any time during the preceding three (3) months, an Affiliate of the Company),to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such occurrence within two (2) Trading Days of such request.</w:t>
      </w:r>
    </w:p>
    <w:p>
      <w:pPr>
        <w:spacing w:after="0" w:line="384"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Transfers of Notes Subject to Conversion</w:t>
      </w:r>
      <w:r>
        <w:rPr>
          <w:rFonts w:ascii="Times New Roman" w:cs="Times New Roman" w:eastAsia="Times New Roman" w:hAnsi="Times New Roman"/>
          <w:sz w:val="17"/>
          <w:szCs w:val="17"/>
          <w:color w:val="auto"/>
        </w:rPr>
        <w:t>. Notwithstanding anything to the contrary in this Indenture or the Notes, the Company, the Trustee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Registrar will not be required to register the transfer of or exchange any Note that has been surrendered for conversion, except to the extent that any portion of such Note is not subject to conversion.</w:t>
      </w:r>
    </w:p>
    <w:p>
      <w:pPr>
        <w:spacing w:after="0" w:line="160" w:lineRule="exact"/>
        <w:rPr>
          <w:sz w:val="20"/>
          <w:szCs w:val="20"/>
          <w:color w:val="auto"/>
        </w:rPr>
      </w:pPr>
    </w:p>
    <w:p>
      <w:pPr>
        <w:ind w:left="2200" w:hanging="1569"/>
        <w:spacing w:after="0" w:line="269" w:lineRule="auto"/>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2.11.</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xchange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ancellation of</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 to</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onverted or to</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epurchased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ursuant to a</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epurchase</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pon</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undamental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hange or</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edemption</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jc w:val="both"/>
        <w:ind w:firstLine="633"/>
        <w:spacing w:after="0" w:line="262" w:lineRule="auto"/>
        <w:tabs>
          <w:tab w:leader="none" w:pos="125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Partial Conversions of Physical Notes and Partial Repurchases of Physical Notes Pursuant to a Repurchase Upon Fundamental Change or Redemption</w:t>
      </w:r>
      <w:r>
        <w:rPr>
          <w:rFonts w:ascii="Times New Roman" w:cs="Times New Roman" w:eastAsia="Times New Roman" w:hAnsi="Times New Roman"/>
          <w:sz w:val="17"/>
          <w:szCs w:val="17"/>
          <w:color w:val="auto"/>
        </w:rPr>
        <w:t>. If only a portion of a Physical Note of a Holder is to be converted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repurchased pursuant to a Repurchase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cs="Times New Roman" w:eastAsia="Times New Roman" w:hAnsi="Times New Roman"/>
          <w:sz w:val="17"/>
          <w:szCs w:val="17"/>
          <w:b w:val="1"/>
          <w:bCs w:val="1"/>
          <w:color w:val="auto"/>
        </w:rPr>
        <w:t>Section 2.10(C)</w:t>
      </w:r>
      <w:r>
        <w:rPr>
          <w:rFonts w:ascii="Times New Roman" w:cs="Times New Roman" w:eastAsia="Times New Roman" w:hAnsi="Times New Roman"/>
          <w:sz w:val="17"/>
          <w:szCs w:val="17"/>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Physical Note referred to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clause (ii)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need not be issued at any time after which such principal amount subject to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conversion or repurchase, as applicable, is deemed to cease to be outstanding pursuant to </w:t>
      </w:r>
      <w:r>
        <w:rPr>
          <w:rFonts w:ascii="Times New Roman" w:cs="Times New Roman" w:eastAsia="Times New Roman" w:hAnsi="Times New Roman"/>
          <w:sz w:val="17"/>
          <w:szCs w:val="17"/>
          <w:b w:val="1"/>
          <w:bCs w:val="1"/>
          <w:color w:val="auto"/>
        </w:rPr>
        <w:t>Section 2.17</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Cancellation of Notes that Are Converted and Notes that Are Repurchased Pursuant to a Repurchase Upon Fundamental Change or</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Redemption</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640" w:firstLine="621"/>
        <w:spacing w:after="0" w:line="262" w:lineRule="auto"/>
        <w:tabs>
          <w:tab w:leader="none" w:pos="189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Physical Notes</w:t>
      </w:r>
      <w:r>
        <w:rPr>
          <w:rFonts w:ascii="Times New Roman" w:cs="Times New Roman" w:eastAsia="Times New Roman" w:hAnsi="Times New Roman"/>
          <w:sz w:val="17"/>
          <w:szCs w:val="17"/>
          <w:color w:val="auto"/>
        </w:rPr>
        <w:t>. If a Physical Note (or any portion thereof that has not theretofore been exchanged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2.11(A)</w:t>
      </w:r>
      <w:r>
        <w:rPr>
          <w:rFonts w:ascii="Times New Roman" w:cs="Times New Roman" w:eastAsia="Times New Roman" w:hAnsi="Times New Roman"/>
          <w:sz w:val="17"/>
          <w:szCs w:val="17"/>
          <w:color w:val="auto"/>
        </w:rPr>
        <w:t>)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Holder is to be converted pursuant to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or repurchased pursuant to a Repurchase Upon Fundamental Change or Redemption, then, promptly after the later of the time such Physical Note (or such portion) is deemed to cease to be outstanding pursuant to </w:t>
      </w:r>
      <w:r>
        <w:rPr>
          <w:rFonts w:ascii="Times New Roman" w:cs="Times New Roman" w:eastAsia="Times New Roman" w:hAnsi="Times New Roman"/>
          <w:sz w:val="17"/>
          <w:szCs w:val="17"/>
          <w:b w:val="1"/>
          <w:bCs w:val="1"/>
          <w:color w:val="auto"/>
        </w:rPr>
        <w:t>Section 2.17</w:t>
      </w:r>
      <w:r>
        <w:rPr>
          <w:rFonts w:ascii="Times New Roman" w:cs="Times New Roman" w:eastAsia="Times New Roman" w:hAnsi="Times New Roman"/>
          <w:sz w:val="17"/>
          <w:szCs w:val="17"/>
          <w:color w:val="auto"/>
        </w:rPr>
        <w:t xml:space="preserve"> and the time such Physical Note is surrendered for such conversion or repurchase, as applicable, (1) such Physical Note will be cancelled pursuant to </w:t>
      </w:r>
      <w:r>
        <w:rPr>
          <w:rFonts w:ascii="Times New Roman" w:cs="Times New Roman" w:eastAsia="Times New Roman" w:hAnsi="Times New Roman"/>
          <w:sz w:val="17"/>
          <w:szCs w:val="17"/>
          <w:b w:val="1"/>
          <w:bCs w:val="1"/>
          <w:color w:val="auto"/>
        </w:rPr>
        <w:t>Section 2.14</w:t>
      </w:r>
      <w:r>
        <w:rPr>
          <w:rFonts w:ascii="Times New Roman" w:cs="Times New Roman" w:eastAsia="Times New Roman" w:hAnsi="Times New Roman"/>
          <w:sz w:val="17"/>
          <w:szCs w:val="17"/>
          <w:color w:val="auto"/>
        </w:rPr>
        <w:t xml:space="preserve">; and (2) in the case of a partial conversion or repurchase, as applicable, the Company will issue, execute and deliver to such Holder,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jc w:val="both"/>
        <w:ind w:left="640" w:firstLine="621"/>
        <w:spacing w:after="0" w:line="266" w:lineRule="auto"/>
        <w:tabs>
          <w:tab w:leader="none" w:pos="189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If a Global Note (or any portion thereof) is to be converted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repurchased pursuant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Repurchase Upon Fundamental Change or Redemption, then, promptly after the time such Note (or such portion) is deemed to cease to be outstanding pursuant to </w:t>
      </w:r>
      <w:r>
        <w:rPr>
          <w:rFonts w:ascii="Times New Roman" w:cs="Times New Roman" w:eastAsia="Times New Roman" w:hAnsi="Times New Roman"/>
          <w:sz w:val="17"/>
          <w:szCs w:val="17"/>
          <w:b w:val="1"/>
          <w:bCs w:val="1"/>
          <w:color w:val="auto"/>
        </w:rPr>
        <w:t>Section 2.17</w:t>
      </w:r>
      <w:r>
        <w:rPr>
          <w:rFonts w:ascii="Times New Roman" w:cs="Times New Roman" w:eastAsia="Times New Roman" w:hAnsi="Times New Roman"/>
          <w:sz w:val="17"/>
          <w:szCs w:val="17"/>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7"/>
          <w:szCs w:val="17"/>
          <w:b w:val="1"/>
          <w:bCs w:val="1"/>
          <w:color w:val="auto"/>
        </w:rPr>
        <w:t>Section 2.14</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2" w:name="page73"/>
    <w:bookmarkEnd w:id="72"/>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2.12.</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eplacement</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spacing w:after="0" w:line="171"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 xml:space="preserve">Every replacement Note issued pursuant to this </w:t>
      </w:r>
      <w:r>
        <w:rPr>
          <w:rFonts w:ascii="Times New Roman" w:cs="Times New Roman" w:eastAsia="Times New Roman" w:hAnsi="Times New Roman"/>
          <w:sz w:val="17"/>
          <w:szCs w:val="17"/>
          <w:b w:val="1"/>
          <w:bCs w:val="1"/>
          <w:color w:val="auto"/>
        </w:rPr>
        <w:t>Section 2.12</w:t>
      </w:r>
      <w:r>
        <w:rPr>
          <w:rFonts w:ascii="Times New Roman" w:cs="Times New Roman" w:eastAsia="Times New Roman" w:hAnsi="Times New Roman"/>
          <w:sz w:val="17"/>
          <w:szCs w:val="17"/>
          <w:color w:val="auto"/>
        </w:rPr>
        <w:t xml:space="preserve"> will be an additional obligation of the Company and will be entitled to all of the benefits of this Indenture equally and ratably with all other Notes issued under this Indenture.</w:t>
      </w:r>
    </w:p>
    <w:p>
      <w:pPr>
        <w:spacing w:after="0" w:line="14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2.13.</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egistered</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olders</w:t>
      </w:r>
      <w:r>
        <w:rPr>
          <w:rFonts w:ascii="Times New Roman" w:cs="Times New Roman" w:eastAsia="Times New Roman" w:hAnsi="Times New Roman"/>
          <w:sz w:val="17"/>
          <w:szCs w:val="17"/>
          <w:b w:val="1"/>
          <w:bCs w:val="1"/>
          <w:color w:val="auto"/>
        </w:rPr>
        <w:t>; C</w:t>
      </w:r>
      <w:r>
        <w:rPr>
          <w:rFonts w:ascii="Times New Roman" w:cs="Times New Roman" w:eastAsia="Times New Roman" w:hAnsi="Times New Roman"/>
          <w:sz w:val="11"/>
          <w:szCs w:val="11"/>
          <w:b w:val="1"/>
          <w:bCs w:val="1"/>
          <w:color w:val="auto"/>
        </w:rPr>
        <w:t>ertain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 with</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espect to</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1"/>
          <w:szCs w:val="11"/>
          <w:b w:val="1"/>
          <w:bCs w:val="1"/>
          <w:color w:val="auto"/>
        </w:rPr>
        <w:t>lobal</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7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2.14.</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ancellation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17"/>
          <w:szCs w:val="17"/>
          <w:b w:val="1"/>
          <w:bCs w:val="1"/>
          <w:color w:val="auto"/>
        </w:rPr>
        <w:t>Section 2.03(B)</w:t>
      </w:r>
      <w:r>
        <w:rPr>
          <w:rFonts w:ascii="Times New Roman" w:cs="Times New Roman" w:eastAsia="Times New Roman" w:hAnsi="Times New Roman"/>
          <w:sz w:val="17"/>
          <w:szCs w:val="17"/>
          <w:color w:val="auto"/>
        </w:rPr>
        <w:t>, the Company may not originally issue new Notes to replace Notes that it has paid or that have been cancelled upon transfer, exchange, payment or conversion.</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2.15.</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eld by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 or its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ffiliates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Without limiting the generality of </w:t>
      </w:r>
      <w:r>
        <w:rPr>
          <w:rFonts w:ascii="Times New Roman" w:cs="Times New Roman" w:eastAsia="Times New Roman" w:hAnsi="Times New Roman"/>
          <w:sz w:val="17"/>
          <w:szCs w:val="17"/>
          <w:b w:val="1"/>
          <w:bCs w:val="1"/>
          <w:color w:val="auto"/>
        </w:rPr>
        <w:t>Section 2.17</w:t>
      </w:r>
      <w:r>
        <w:rPr>
          <w:rFonts w:ascii="Times New Roman" w:cs="Times New Roman" w:eastAsia="Times New Roman" w:hAnsi="Times New Roman"/>
          <w:sz w:val="17"/>
          <w:szCs w:val="17"/>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purposes of determining whether the Trustee is protected in relying on any such direction, waiver or consent, only Notes that a Responsible Officer of the Trustee knows are so owned will be so disregarded.</w:t>
      </w:r>
    </w:p>
    <w:p>
      <w:pPr>
        <w:spacing w:after="0" w:line="16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2.16.</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emporary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definitive Notes in exchange for temporary Notes. Until so exchanged, each temporary Note will in all respects be entitled to the same benefits under this Indenture as definitive Notes.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3" w:name="page74"/>
    <w:bookmarkEnd w:id="73"/>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2.17.</w:t>
      </w:r>
      <w:r>
        <w:rPr>
          <w:sz w:val="20"/>
          <w:szCs w:val="20"/>
          <w:color w:val="auto"/>
        </w:rPr>
        <w:tab/>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1"/>
          <w:szCs w:val="11"/>
          <w:b w:val="1"/>
          <w:bCs w:val="1"/>
          <w:color w:val="auto"/>
        </w:rPr>
        <w:t>utstanding</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33"/>
        <w:spacing w:after="0" w:line="267" w:lineRule="auto"/>
        <w:tabs>
          <w:tab w:leader="none" w:pos="12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The Notes that are outstanding at any time will be deemed to be those Notes that, at such time, have been duly executed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7"/>
          <w:szCs w:val="17"/>
          <w:b w:val="1"/>
          <w:bCs w:val="1"/>
          <w:color w:val="auto"/>
        </w:rPr>
        <w:t>Section 2.14</w:t>
      </w:r>
      <w:r>
        <w:rPr>
          <w:rFonts w:ascii="Times New Roman" w:cs="Times New Roman" w:eastAsia="Times New Roman" w:hAnsi="Times New Roman"/>
          <w:sz w:val="17"/>
          <w:szCs w:val="17"/>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b w:val="1"/>
          <w:bCs w:val="1"/>
          <w:color w:val="auto"/>
        </w:rPr>
        <w:t>Section 2.17</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Replaced Notes</w:t>
      </w:r>
      <w:r>
        <w:rPr>
          <w:rFonts w:ascii="Times New Roman" w:cs="Times New Roman" w:eastAsia="Times New Roman" w:hAnsi="Times New Roman"/>
          <w:sz w:val="17"/>
          <w:szCs w:val="17"/>
          <w:color w:val="auto"/>
        </w:rPr>
        <w:t>. If a Note is replaced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2.12</w:t>
      </w:r>
      <w:r>
        <w:rPr>
          <w:rFonts w:ascii="Times New Roman" w:cs="Times New Roman" w:eastAsia="Times New Roman" w:hAnsi="Times New Roman"/>
          <w:sz w:val="17"/>
          <w:szCs w:val="17"/>
          <w:color w:val="auto"/>
        </w:rPr>
        <w:t>, then such Note will cease to be outstanding at the time of its replacement,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the Trustee and the Company receive proof reasonably satisfactory to them that such Note is held by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purchaser” under applicable law.</w:t>
      </w:r>
    </w:p>
    <w:p>
      <w:pPr>
        <w:spacing w:after="0" w:line="142" w:lineRule="exact"/>
        <w:rPr>
          <w:rFonts w:ascii="Times New Roman" w:cs="Times New Roman" w:eastAsia="Times New Roman" w:hAnsi="Times New Roman"/>
          <w:sz w:val="17"/>
          <w:szCs w:val="17"/>
          <w:color w:val="auto"/>
        </w:rPr>
      </w:pPr>
    </w:p>
    <w:p>
      <w:pPr>
        <w:jc w:val="both"/>
        <w:ind w:firstLine="633"/>
        <w:spacing w:after="0" w:line="263" w:lineRule="auto"/>
        <w:tabs>
          <w:tab w:leader="none" w:pos="12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Maturing Notes and Notes Called for Redemption or Subject to Repurchase</w:t>
      </w:r>
      <w:r>
        <w:rPr>
          <w:rFonts w:ascii="Times New Roman" w:cs="Times New Roman" w:eastAsia="Times New Roman" w:hAnsi="Times New Roman"/>
          <w:sz w:val="17"/>
          <w:szCs w:val="17"/>
          <w:color w:val="auto"/>
        </w:rPr>
        <w:t>. If, on a Redemption Date, a Fundamental Change Repurchase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7"/>
          <w:szCs w:val="17"/>
          <w:b w:val="1"/>
          <w:bCs w:val="1"/>
          <w:color w:val="auto"/>
        </w:rPr>
        <w:t>Section 4.02(D), 4.03(E)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5.02(D)</w:t>
      </w:r>
      <w:r>
        <w:rPr>
          <w:rFonts w:ascii="Times New Roman" w:cs="Times New Roman" w:eastAsia="Times New Roman" w:hAnsi="Times New Roman"/>
          <w:sz w:val="17"/>
          <w:szCs w:val="17"/>
          <w:color w:val="auto"/>
        </w:rPr>
        <w:t>; and (ii) the rights of the Holders of such Notes (or such portions thereof), as such, will terminate with respect to such Notes (or such portions thereof), other than the right to receive the Redemption Price, the Fundamental Change Repurchase Price or principal amount, as applicable, of, and accrued and unpaid interest on, such Notes (or such portions thereof), in each case as provided in this Indenture.</w:t>
      </w:r>
    </w:p>
    <w:p>
      <w:pPr>
        <w:spacing w:after="0" w:line="384"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Notes to Be Converted</w:t>
      </w:r>
      <w:r>
        <w:rPr>
          <w:rFonts w:ascii="Times New Roman" w:cs="Times New Roman" w:eastAsia="Times New Roman" w:hAnsi="Times New Roman"/>
          <w:sz w:val="17"/>
          <w:szCs w:val="17"/>
          <w:color w:val="auto"/>
        </w:rPr>
        <w:t>. At the Close of Business on the Conversion Date for any Note (or any portion thereof) to be converted, such Note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such portion) will (unless there occurs a Default in the delivery of the Conversion Consideration or interest due, pursuant to </w:t>
      </w:r>
      <w:r>
        <w:rPr>
          <w:rFonts w:ascii="Times New Roman" w:cs="Times New Roman" w:eastAsia="Times New Roman" w:hAnsi="Times New Roman"/>
          <w:sz w:val="17"/>
          <w:szCs w:val="17"/>
          <w:b w:val="1"/>
          <w:bCs w:val="1"/>
          <w:color w:val="auto"/>
        </w:rPr>
        <w:t>Section 5.03(B)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 xml:space="preserve">, upon such conversion) be deemed to cease to be outstanding, except to the extent provided in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5.08</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Cessation of Accrual of Interest</w:t>
      </w:r>
      <w:r>
        <w:rPr>
          <w:rFonts w:ascii="Times New Roman" w:cs="Times New Roman" w:eastAsia="Times New Roman" w:hAnsi="Times New Roman"/>
          <w:sz w:val="17"/>
          <w:szCs w:val="17"/>
          <w:color w:val="auto"/>
        </w:rPr>
        <w:t>. Except as provided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4.02(D), 4.03(E)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5.02(D)</w:t>
      </w:r>
      <w:r>
        <w:rPr>
          <w:rFonts w:ascii="Times New Roman" w:cs="Times New Roman" w:eastAsia="Times New Roman" w:hAnsi="Times New Roman"/>
          <w:sz w:val="17"/>
          <w:szCs w:val="17"/>
          <w:color w:val="auto"/>
        </w:rPr>
        <w:t>, interest will cease to accrue on each Note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including, the date that such Note is deemed, pursuant to this </w:t>
      </w:r>
      <w:r>
        <w:rPr>
          <w:rFonts w:ascii="Times New Roman" w:cs="Times New Roman" w:eastAsia="Times New Roman" w:hAnsi="Times New Roman"/>
          <w:sz w:val="17"/>
          <w:szCs w:val="17"/>
          <w:b w:val="1"/>
          <w:bCs w:val="1"/>
          <w:color w:val="auto"/>
        </w:rPr>
        <w:t>Section 2.17</w:t>
      </w:r>
      <w:r>
        <w:rPr>
          <w:rFonts w:ascii="Times New Roman" w:cs="Times New Roman" w:eastAsia="Times New Roman" w:hAnsi="Times New Roman"/>
          <w:sz w:val="17"/>
          <w:szCs w:val="17"/>
          <w:color w:val="auto"/>
        </w:rPr>
        <w:t>, to cease to be outstanding, unless there occurs a default in the payment or delivery of any cash or other property due on such Note.</w:t>
      </w:r>
    </w:p>
    <w:p>
      <w:pPr>
        <w:spacing w:after="0" w:line="16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2.18.</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epurchases by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98" w:lineRule="auto"/>
        <w:rPr>
          <w:sz w:val="20"/>
          <w:szCs w:val="20"/>
          <w:color w:val="auto"/>
        </w:rPr>
      </w:pPr>
      <w:r>
        <w:rPr>
          <w:rFonts w:ascii="Times New Roman" w:cs="Times New Roman" w:eastAsia="Times New Roman" w:hAnsi="Times New Roman"/>
          <w:sz w:val="17"/>
          <w:szCs w:val="17"/>
          <w:color w:val="auto"/>
        </w:rPr>
        <w:t xml:space="preserve">Without limiting the generality of </w:t>
      </w:r>
      <w:r>
        <w:rPr>
          <w:rFonts w:ascii="Times New Roman" w:cs="Times New Roman" w:eastAsia="Times New Roman" w:hAnsi="Times New Roman"/>
          <w:sz w:val="17"/>
          <w:szCs w:val="17"/>
          <w:b w:val="1"/>
          <w:bCs w:val="1"/>
          <w:color w:val="auto"/>
        </w:rPr>
        <w:t>Section 2.14</w:t>
      </w:r>
      <w:r>
        <w:rPr>
          <w:rFonts w:ascii="Times New Roman" w:cs="Times New Roman" w:eastAsia="Times New Roman" w:hAnsi="Times New Roman"/>
          <w:sz w:val="17"/>
          <w:szCs w:val="17"/>
          <w:color w:val="auto"/>
        </w:rPr>
        <w:t xml:space="preserve">, the Company may, from time to time, repurchase Notes in open market purchases or in negotiated transactions without delivering prior notice to Holders, in each case in compliance with the applicable provisions in </w:t>
      </w:r>
      <w:r>
        <w:rPr>
          <w:rFonts w:ascii="Times New Roman" w:cs="Times New Roman" w:eastAsia="Times New Roman" w:hAnsi="Times New Roman"/>
          <w:sz w:val="17"/>
          <w:szCs w:val="17"/>
          <w:b w:val="1"/>
          <w:bCs w:val="1"/>
          <w:color w:val="auto"/>
        </w:rPr>
        <w:t>Article 3</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2.19.</w:t>
      </w:r>
      <w:r>
        <w:rPr>
          <w:sz w:val="20"/>
          <w:szCs w:val="20"/>
          <w:color w:val="auto"/>
        </w:rPr>
        <w:tab/>
      </w:r>
      <w:r>
        <w:rPr>
          <w:rFonts w:ascii="Times New Roman" w:cs="Times New Roman" w:eastAsia="Times New Roman" w:hAnsi="Times New Roman"/>
          <w:sz w:val="17"/>
          <w:szCs w:val="17"/>
          <w:b w:val="1"/>
          <w:bCs w:val="1"/>
          <w:color w:val="auto"/>
        </w:rPr>
        <w:t xml:space="preserve">CUSIP </w:t>
      </w:r>
      <w:r>
        <w:rPr>
          <w:rFonts w:ascii="Times New Roman" w:cs="Times New Roman" w:eastAsia="Times New Roman" w:hAnsi="Times New Roman"/>
          <w:sz w:val="11"/>
          <w:szCs w:val="11"/>
          <w:b w:val="1"/>
          <w:bCs w:val="1"/>
          <w:color w:val="auto"/>
        </w:rPr>
        <w:t>and</w:t>
      </w:r>
      <w:r>
        <w:rPr>
          <w:rFonts w:ascii="Times New Roman" w:cs="Times New Roman" w:eastAsia="Times New Roman" w:hAnsi="Times New Roman"/>
          <w:sz w:val="17"/>
          <w:szCs w:val="17"/>
          <w:b w:val="1"/>
          <w:bCs w:val="1"/>
          <w:color w:val="auto"/>
        </w:rPr>
        <w:t xml:space="preserve"> ISIN N</w:t>
      </w:r>
      <w:r>
        <w:rPr>
          <w:rFonts w:ascii="Times New Roman" w:cs="Times New Roman" w:eastAsia="Times New Roman" w:hAnsi="Times New Roman"/>
          <w:sz w:val="11"/>
          <w:szCs w:val="11"/>
          <w:b w:val="1"/>
          <w:bCs w:val="1"/>
          <w:color w:val="auto"/>
        </w:rPr>
        <w:t>umbers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3.01.</w:t>
      </w:r>
      <w:r>
        <w:rPr>
          <w:sz w:val="20"/>
          <w:szCs w:val="20"/>
          <w:color w:val="auto"/>
        </w:rPr>
        <w:tab/>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ayment on</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33"/>
        <w:spacing w:after="0" w:line="298" w:lineRule="auto"/>
        <w:tabs>
          <w:tab w:leader="none" w:pos="12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The Company will pay or cause to be paid all the principal of, the Fundamental Change Repurchase Price and Redemption Price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interest on, and other amounts due with respect to, the Notes on the dates and in the manner set forth in this Indenture.</w:t>
      </w:r>
    </w:p>
    <w:p>
      <w:pPr>
        <w:spacing w:after="0" w:line="142"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Deposit of Funds</w:t>
      </w:r>
      <w:r>
        <w:rPr>
          <w:rFonts w:ascii="Times New Roman" w:cs="Times New Roman" w:eastAsia="Times New Roman" w:hAnsi="Times New Roman"/>
          <w:sz w:val="17"/>
          <w:szCs w:val="17"/>
          <w:color w:val="auto"/>
        </w:rPr>
        <w:t>. Before 11:00 A.M., New York City time, on each Redemption Date, Fundamental Change Repurchase Date or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6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3.02.</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xchange</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eports and</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inancial</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tatements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33"/>
        <w:spacing w:after="0" w:line="262" w:lineRule="auto"/>
        <w:tabs>
          <w:tab w:leader="none" w:pos="125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The Company will send to the Trustee copies of all reports that the Company is required to file or furnish with the SEC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Section 13(a) or 15(d) of the Exchange Act within fifteen (15) calendar days after the date that the Company is required to file or furnish the same (after giving effect to all applicable grace periods under the Exchange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Company need not send to the Trustee any material for which the Company has received, or is seeking in good faith and has not been denied, confidential treatment by the SEC. Any report that the Company files or furnishes with the SEC through the EDGAR system (or any successor thereto) will be deemed to be sent to the Trustee at the time such report is so filed or furnished via the EDGAR system (or such successor). Upon the request of any Holder, the Trustee will provide to such Holder a copy of any report that the Company has sent the Trustee pursuant to this </w:t>
      </w:r>
      <w:r>
        <w:rPr>
          <w:rFonts w:ascii="Times New Roman" w:cs="Times New Roman" w:eastAsia="Times New Roman" w:hAnsi="Times New Roman"/>
          <w:sz w:val="17"/>
          <w:szCs w:val="17"/>
          <w:b w:val="1"/>
          <w:bCs w:val="1"/>
          <w:color w:val="auto"/>
        </w:rPr>
        <w:t>Section 3.02(A)</w:t>
      </w:r>
      <w:r>
        <w:rPr>
          <w:rFonts w:ascii="Times New Roman" w:cs="Times New Roman" w:eastAsia="Times New Roman" w:hAnsi="Times New Roman"/>
          <w:sz w:val="17"/>
          <w:szCs w:val="17"/>
          <w:color w:val="auto"/>
        </w:rPr>
        <w:t>, other than a report that is deemed to be sent to the Trustee pursuant to the preceding sentence. The Company shall comply in all respects with the filing requirements under Section 13 or 15(d) of the Exchange Act, as applicable.</w:t>
      </w:r>
    </w:p>
    <w:p>
      <w:pPr>
        <w:spacing w:after="0" w:line="178"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previously filed or furnished with the SEC through the EDGAR system (or any successor thereto), if the Company is not subject to Section 13 or 15(d) of the Exchange Act at any time when any Notes or shares of Common Stock issuable upon conversion of the Notes are outstanding, then the Company shall:</w:t>
      </w:r>
    </w:p>
    <w:p>
      <w:pPr>
        <w:spacing w:after="0" w:line="163" w:lineRule="exact"/>
        <w:rPr>
          <w:sz w:val="20"/>
          <w:szCs w:val="20"/>
          <w:color w:val="auto"/>
        </w:rPr>
      </w:pPr>
    </w:p>
    <w:p>
      <w:pPr>
        <w:jc w:val="both"/>
        <w:ind w:firstLine="633"/>
        <w:spacing w:after="0" w:line="266" w:lineRule="auto"/>
        <w:tabs>
          <w:tab w:leader="none" w:pos="84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one hundred twenty (120) days after the end of each fiscal year of the Company, deliver to the Trustee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72" w:lineRule="exact"/>
        <w:rPr>
          <w:rFonts w:ascii="Times New Roman" w:cs="Times New Roman" w:eastAsia="Times New Roman" w:hAnsi="Times New Roman"/>
          <w:sz w:val="17"/>
          <w:szCs w:val="17"/>
          <w:color w:val="auto"/>
        </w:rPr>
      </w:pPr>
    </w:p>
    <w:p>
      <w:pPr>
        <w:jc w:val="both"/>
        <w:ind w:firstLine="633"/>
        <w:spacing w:after="0" w:line="270" w:lineRule="auto"/>
        <w:tabs>
          <w:tab w:leader="none" w:pos="90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forty-five (45) days after the end of each of the first three fiscal quarters of each fiscal year of the Company, deliver to the Trustee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5" w:name="page76"/>
    <w:bookmarkEnd w:id="75"/>
    <w:p>
      <w:pPr>
        <w:jc w:val="both"/>
        <w:ind w:firstLine="633"/>
        <w:spacing w:after="0" w:line="260" w:lineRule="auto"/>
        <w:tabs>
          <w:tab w:leader="none" w:pos="125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financial statements included in any SEC Documents or delivered pursuant to clause (B) shall fairly present the consolidated financial position of the Company and its Subsidiaries as of the dates thereof and the consolidated results of their operations and cash flows for the periods presented and shall have been prepared in accordance with GAAP, consistently applied (subject, in the case of unaudited quarterly financial statements, to normal year-end adjustments that are not material individually or in the aggregate and lack of footnote disclosures). Any audit or report of the Company’s independent certified public accountants on any financial statements included in any such SEC Document or delivered pursuant to clause (B) shall contain an unqualified opinion (subject to the exception set forth in the parenthetical at the end of the immediately following sentence) stating that such consolidated financial statements present fairly in all material respects the consolidated financial position and results of operations and cash flows of the Company and its Subsidiaries as of the dates thereof and for the periods presented and have been prepared in conformity with GAAP applied on a basis materially consistent with prior years. Any financial statements or notes thereto included in any such SEC Document or delivered pursuant to clause (B) shall not include any qualification, explanatory paragraph, emphasis of matter or other statement expressing substantial doubt as to going concern status (other than a “going concern” or like qualification or exception resulting solely from an upcoming maturity date of any Indebtedness).</w:t>
      </w:r>
    </w:p>
    <w:p>
      <w:pPr>
        <w:spacing w:after="0" w:line="180"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Trustee’s Disclaimer</w:t>
      </w:r>
      <w:r>
        <w:rPr>
          <w:rFonts w:ascii="Times New Roman" w:cs="Times New Roman" w:eastAsia="Times New Roman" w:hAnsi="Times New Roman"/>
          <w:sz w:val="17"/>
          <w:szCs w:val="17"/>
          <w:color w:val="auto"/>
        </w:rPr>
        <w:t>. The Trustee need not determine whether the Company has filed any material via the EDGAR system (or such successor).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sending or filing of reports pursuant to </w:t>
      </w:r>
      <w:r>
        <w:rPr>
          <w:rFonts w:ascii="Times New Roman" w:cs="Times New Roman" w:eastAsia="Times New Roman" w:hAnsi="Times New Roman"/>
          <w:sz w:val="17"/>
          <w:szCs w:val="17"/>
          <w:b w:val="1"/>
          <w:bCs w:val="1"/>
          <w:color w:val="auto"/>
        </w:rPr>
        <w:t>Section 3.02(A)</w:t>
      </w:r>
      <w:r>
        <w:rPr>
          <w:rFonts w:ascii="Times New Roman" w:cs="Times New Roman" w:eastAsia="Times New Roman" w:hAnsi="Times New Roman"/>
          <w:sz w:val="17"/>
          <w:szCs w:val="17"/>
          <w:color w:val="auto"/>
        </w:rPr>
        <w:t xml:space="preserve"> or the delivery of other documents or notices to the Trustee under this Indenture will not be deemed to constitute actual or constructive notice to the Trustee of any information contained, or determinable from information contained, therein, including the Company’s compliance with any of its covenants under this Indenture.</w:t>
      </w:r>
    </w:p>
    <w:p>
      <w:pPr>
        <w:spacing w:after="0" w:line="19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3.03.</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ule</w:t>
      </w:r>
      <w:r>
        <w:rPr>
          <w:rFonts w:ascii="Times New Roman" w:cs="Times New Roman" w:eastAsia="Times New Roman" w:hAnsi="Times New Roman"/>
          <w:sz w:val="17"/>
          <w:szCs w:val="17"/>
          <w:b w:val="1"/>
          <w:bCs w:val="1"/>
          <w:color w:val="auto"/>
        </w:rPr>
        <w:t xml:space="preserve"> 144A I</w:t>
      </w:r>
      <w:r>
        <w:rPr>
          <w:rFonts w:ascii="Times New Roman" w:cs="Times New Roman" w:eastAsia="Times New Roman" w:hAnsi="Times New Roman"/>
          <w:sz w:val="11"/>
          <w:szCs w:val="11"/>
          <w:b w:val="1"/>
          <w:bCs w:val="1"/>
          <w:color w:val="auto"/>
        </w:rPr>
        <w:t>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w:t>
      </w:r>
    </w:p>
    <w:p>
      <w:pPr>
        <w:spacing w:after="0" w:line="19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3.04.</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dditional</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nterest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60" w:hanging="627"/>
        <w:spacing w:after="0"/>
        <w:tabs>
          <w:tab w:leader="none" w:pos="12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Accrual of Additional Interest</w:t>
      </w:r>
      <w:r>
        <w:rPr>
          <w:rFonts w:ascii="Times New Roman" w:cs="Times New Roman" w:eastAsia="Times New Roman" w:hAnsi="Times New Roman"/>
          <w:sz w:val="17"/>
          <w:szCs w:val="17"/>
          <w:color w:val="auto"/>
        </w:rPr>
        <w:t>. If, on any day occurring on or after the date that is six (6) months after the Last Original Issue Date of 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05" w:lineRule="exact"/>
        <w:rPr>
          <w:sz w:val="20"/>
          <w:szCs w:val="20"/>
          <w:color w:val="auto"/>
        </w:rPr>
      </w:pPr>
    </w:p>
    <w:p>
      <w:pPr>
        <w:ind w:left="640" w:firstLine="621"/>
        <w:spacing w:after="0" w:line="296" w:lineRule="auto"/>
        <w:tabs>
          <w:tab w:leader="none" w:pos="1896"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satisfied the reporting conditions (including, for the avoidance of doubt, the requirement for current Form 10 information) set forth in Rule 144(c) and (i)(2) under the Securities Act; or</w:t>
      </w:r>
    </w:p>
    <w:p>
      <w:pPr>
        <w:spacing w:after="0" w:line="14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Note is not otherwise Freely Tradable, then Additional Interest will accrue on such Note for such day.</w:t>
      </w:r>
    </w:p>
    <w:p>
      <w:pPr>
        <w:spacing w:after="0" w:line="221" w:lineRule="exact"/>
        <w:rPr>
          <w:rFonts w:ascii="Times New Roman" w:cs="Times New Roman" w:eastAsia="Times New Roman" w:hAnsi="Times New Roman"/>
          <w:sz w:val="17"/>
          <w:szCs w:val="17"/>
          <w:color w:val="auto"/>
        </w:rPr>
      </w:pPr>
    </w:p>
    <w:p>
      <w:pPr>
        <w:jc w:val="both"/>
        <w:ind w:firstLine="633"/>
        <w:spacing w:after="0" w:line="274" w:lineRule="auto"/>
        <w:tabs>
          <w:tab w:leader="none" w:pos="125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Amount and Payment of Additional Interest</w:t>
      </w:r>
      <w:r>
        <w:rPr>
          <w:rFonts w:ascii="Times New Roman" w:cs="Times New Roman" w:eastAsia="Times New Roman" w:hAnsi="Times New Roman"/>
          <w:sz w:val="17"/>
          <w:szCs w:val="17"/>
          <w:color w:val="auto"/>
        </w:rPr>
        <w:t>. Any Additional Interest that accrues on a Note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3.04(A)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be payable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same dates and in the same manner as the Stated Interest on such Note and will accrue at a rate per annum equal to one half of one percent (0.50%) of the principal amount thereof. For the avoidance of doubt, any Additional Interest that accrues on a Note will be in addition to the Stated Interest that accrues on such Note.</w:t>
      </w:r>
    </w:p>
    <w:p>
      <w:pPr>
        <w:spacing w:after="0" w:line="377" w:lineRule="exact"/>
        <w:rPr>
          <w:rFonts w:ascii="Times New Roman" w:cs="Times New Roman" w:eastAsia="Times New Roman" w:hAnsi="Times New Roman"/>
          <w:sz w:val="17"/>
          <w:szCs w:val="17"/>
          <w:color w:val="auto"/>
        </w:rPr>
      </w:pPr>
    </w:p>
    <w:p>
      <w:pPr>
        <w:jc w:val="both"/>
        <w:ind w:firstLine="633"/>
        <w:spacing w:after="0" w:line="265" w:lineRule="auto"/>
        <w:tabs>
          <w:tab w:leader="none" w:pos="125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Accrual of Additional Interest; Trustee’s Disclaimer</w:t>
      </w:r>
      <w:r>
        <w:rPr>
          <w:rFonts w:ascii="Times New Roman" w:cs="Times New Roman" w:eastAsia="Times New Roman" w:hAnsi="Times New Roman"/>
          <w:sz w:val="17"/>
          <w:szCs w:val="17"/>
          <w:color w:val="auto"/>
        </w:rPr>
        <w:t>. The Company will send notice to the Holder of each Note, and to the Trustee,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70"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Exclusive Remedy</w:t>
      </w:r>
      <w:r>
        <w:rPr>
          <w:rFonts w:ascii="Times New Roman" w:cs="Times New Roman" w:eastAsia="Times New Roman" w:hAnsi="Times New Roman"/>
          <w:sz w:val="17"/>
          <w:szCs w:val="17"/>
          <w:color w:val="auto"/>
        </w:rPr>
        <w:t>. The accrual of Additional Interest will be the exclusive remedy available to Holders for the failure of their Notes to become</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Freely Tradable.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6" w:name="page77"/>
    <w:bookmarkEnd w:id="76"/>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3.05.</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ompliance and</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efault</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ertificates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33"/>
        <w:spacing w:after="0" w:line="267" w:lineRule="auto"/>
        <w:tabs>
          <w:tab w:leader="none" w:pos="125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Annual Compliance Certificate</w:t>
      </w:r>
      <w:r>
        <w:rPr>
          <w:rFonts w:ascii="Times New Roman" w:cs="Times New Roman" w:eastAsia="Times New Roman" w:hAnsi="Times New Roman"/>
          <w:sz w:val="17"/>
          <w:szCs w:val="17"/>
          <w:color w:val="auto"/>
        </w:rPr>
        <w:t>. Within one hundred twenty (120) days after December 31, 2025 and each fiscal year of the Company ending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68"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Default Certificate</w:t>
      </w:r>
      <w:r>
        <w:rPr>
          <w:rFonts w:ascii="Times New Roman" w:cs="Times New Roman" w:eastAsia="Times New Roman" w:hAnsi="Times New Roman"/>
          <w:sz w:val="17"/>
          <w:szCs w:val="17"/>
          <w:color w:val="auto"/>
        </w:rPr>
        <w:t>. If a Default or Event of Default occurs, then the Company will, within five (5) Business Days after its first occurrence,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 an Officer’s Certificate to the Trustee describing the same and what action the Company is taking or proposes to take with respect thereto.</w:t>
      </w:r>
    </w:p>
    <w:p>
      <w:pPr>
        <w:spacing w:after="0" w:line="16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3.06.</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tay</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1"/>
          <w:szCs w:val="11"/>
          <w:b w:val="1"/>
          <w:bCs w:val="1"/>
          <w:color w:val="auto"/>
        </w:rPr>
        <w:t>xtension and</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sury</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9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3.07.</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cquisition of</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 by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 and its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ffiliates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 xml:space="preserve">Without limiting the generality of </w:t>
      </w:r>
      <w:r>
        <w:rPr>
          <w:rFonts w:ascii="Times New Roman" w:cs="Times New Roman" w:eastAsia="Times New Roman" w:hAnsi="Times New Roman"/>
          <w:sz w:val="17"/>
          <w:szCs w:val="17"/>
          <w:b w:val="1"/>
          <w:bCs w:val="1"/>
          <w:color w:val="auto"/>
        </w:rPr>
        <w:t>Section 2.17</w:t>
      </w:r>
      <w:r>
        <w:rPr>
          <w:rFonts w:ascii="Times New Roman" w:cs="Times New Roman" w:eastAsia="Times New Roman" w:hAnsi="Times New Roman"/>
          <w:sz w:val="17"/>
          <w:szCs w:val="17"/>
          <w:color w:val="auto"/>
        </w:rPr>
        <w:t xml:space="preserve">, Notes that the Company or any of its Subsidiaries have purchased or otherwise acquired will be deemed to remain outstanding (except to the extent provided in </w:t>
      </w:r>
      <w:r>
        <w:rPr>
          <w:rFonts w:ascii="Times New Roman" w:cs="Times New Roman" w:eastAsia="Times New Roman" w:hAnsi="Times New Roman"/>
          <w:sz w:val="17"/>
          <w:szCs w:val="17"/>
          <w:b w:val="1"/>
          <w:bCs w:val="1"/>
          <w:color w:val="auto"/>
        </w:rPr>
        <w:t>Section 2.15</w:t>
      </w:r>
      <w:r>
        <w:rPr>
          <w:rFonts w:ascii="Times New Roman" w:cs="Times New Roman" w:eastAsia="Times New Roman" w:hAnsi="Times New Roman"/>
          <w:sz w:val="17"/>
          <w:szCs w:val="17"/>
          <w:color w:val="auto"/>
        </w:rPr>
        <w:t>) until such time as such Notes are delivered to the Trustee for cancellation. The Company will use commercially reasonable efforts to prevent any of its controlled Affiliates from acquiring any Note (or any beneficial interest therein).</w:t>
      </w:r>
    </w:p>
    <w:p>
      <w:pPr>
        <w:spacing w:after="0" w:line="18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3.08.</w:t>
      </w:r>
      <w:r>
        <w:rPr>
          <w:sz w:val="20"/>
          <w:szCs w:val="20"/>
          <w:color w:val="auto"/>
        </w:rPr>
        <w:tab/>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ndebtedness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 Note Party will, nor will it permit any Subsidiary to, create, incur, assume or suffer to exist any Indebtedness on or after the Issue Date, except:</w:t>
      </w:r>
    </w:p>
    <w:p>
      <w:pPr>
        <w:spacing w:after="0" w:line="223" w:lineRule="exact"/>
        <w:rPr>
          <w:sz w:val="20"/>
          <w:szCs w:val="20"/>
          <w:color w:val="auto"/>
        </w:rPr>
      </w:pPr>
    </w:p>
    <w:p>
      <w:pPr>
        <w:ind w:left="1260" w:hanging="627"/>
        <w:spacing w:after="0"/>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 Obligations;</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existing on the date hereof and set forth in Schedule 3.08(B);</w:t>
      </w:r>
    </w:p>
    <w:p>
      <w:pPr>
        <w:spacing w:after="0" w:line="223"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Company to any Subsidiary and of any Subsidiary to the Company or any other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Indebtedness of any Subsidiary that is not a Note Party to the Company or any other Note Party shall be subject to </w:t>
      </w:r>
      <w:r>
        <w:rPr>
          <w:rFonts w:ascii="Times New Roman" w:cs="Times New Roman" w:eastAsia="Times New Roman" w:hAnsi="Times New Roman"/>
          <w:sz w:val="17"/>
          <w:szCs w:val="17"/>
          <w:b w:val="1"/>
          <w:bCs w:val="1"/>
          <w:color w:val="auto"/>
        </w:rPr>
        <w:t>Section 3.11(D)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3.11(P)</w:t>
      </w:r>
      <w:r>
        <w:rPr>
          <w:rFonts w:ascii="Times New Roman" w:cs="Times New Roman" w:eastAsia="Times New Roman" w:hAnsi="Times New Roman"/>
          <w:sz w:val="17"/>
          <w:szCs w:val="17"/>
          <w:color w:val="auto"/>
        </w:rPr>
        <w:t xml:space="preserve"> and (ii) Indebtedness of any Note Party to any Subsidiary that is not a Note Party shall be subordinated to the Note Obligations pursuant to a subordination agreement on terms substantially in the form attached hereto as </w:t>
      </w: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firstLine="633"/>
        <w:spacing w:after="0" w:line="264" w:lineRule="auto"/>
        <w:tabs>
          <w:tab w:leader="none" w:pos="125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Guarantees by the Company of Indebtedness of any Subsidiary to a bona fide third party and by any Subsidiary of Indebtedness of the Company or any other Subsidiary to a bona fide third party (including, without limitation, constituting customary indemnification, purchase price adjustments or other similar reimbursement obligations incurred under customary agreements in the ordinary course of business, or Dispositions or investments otherwise permitted under this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Indebtedness so Guaranteed is otherwise permitted by this </w:t>
      </w:r>
      <w:r>
        <w:rPr>
          <w:rFonts w:ascii="Times New Roman" w:cs="Times New Roman" w:eastAsia="Times New Roman" w:hAnsi="Times New Roman"/>
          <w:sz w:val="17"/>
          <w:szCs w:val="17"/>
          <w:b w:val="1"/>
          <w:bCs w:val="1"/>
          <w:color w:val="auto"/>
        </w:rPr>
        <w:t>Section 3.08</w:t>
      </w:r>
      <w:r>
        <w:rPr>
          <w:rFonts w:ascii="Times New Roman" w:cs="Times New Roman" w:eastAsia="Times New Roman" w:hAnsi="Times New Roman"/>
          <w:sz w:val="17"/>
          <w:szCs w:val="17"/>
          <w:color w:val="auto"/>
        </w:rPr>
        <w:t xml:space="preserve">, (ii) Guarantees by the Company or any other Note Party of Indebtedness of any Subsidiary that is not a Note Party shall be subject to </w:t>
      </w:r>
      <w:r>
        <w:rPr>
          <w:rFonts w:ascii="Times New Roman" w:cs="Times New Roman" w:eastAsia="Times New Roman" w:hAnsi="Times New Roman"/>
          <w:sz w:val="17"/>
          <w:szCs w:val="17"/>
          <w:b w:val="1"/>
          <w:bCs w:val="1"/>
          <w:color w:val="auto"/>
        </w:rPr>
        <w:t>Section 3.11(E)</w:t>
      </w:r>
      <w:r>
        <w:rPr>
          <w:rFonts w:ascii="Times New Roman" w:cs="Times New Roman" w:eastAsia="Times New Roman" w:hAnsi="Times New Roman"/>
          <w:sz w:val="17"/>
          <w:szCs w:val="17"/>
          <w:color w:val="auto"/>
        </w:rPr>
        <w:t xml:space="preserve"> and (iii) Guarantees permitted under this clause (d) shall be subordinated to the Note Obligations on the same terms as the Indebtedness so Guaranteed is subordinated to the Note Obligations;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77" w:name="page78"/>
    <w:bookmarkEnd w:id="77"/>
    <w:p>
      <w:pPr>
        <w:jc w:val="both"/>
        <w:ind w:left="-20" w:firstLine="633"/>
        <w:spacing w:after="0" w:line="263" w:lineRule="auto"/>
        <w:tabs>
          <w:tab w:leader="none" w:pos="12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Company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incurred prior to or within 180 days after such acquisition or the completion of such construction or improvement and (ii) the aggregate principal amount of Indebtedness permitted by this clause (E), together with any Refinance Indebtedness (as defined below) in respect thereof permitted by clause (F) below, shall not exceed the greater of (i) $15,000,000 and (ii) 15% of Consolidated EBITDA in the aggregate at any time outstanding;</w:t>
      </w:r>
    </w:p>
    <w:p>
      <w:pPr>
        <w:spacing w:after="0" w:line="175" w:lineRule="exact"/>
        <w:rPr>
          <w:rFonts w:ascii="Times New Roman" w:cs="Times New Roman" w:eastAsia="Times New Roman" w:hAnsi="Times New Roman"/>
          <w:sz w:val="17"/>
          <w:szCs w:val="17"/>
          <w:color w:val="auto"/>
        </w:rPr>
      </w:pPr>
    </w:p>
    <w:p>
      <w:pPr>
        <w:jc w:val="both"/>
        <w:ind w:left="-20" w:firstLine="633"/>
        <w:spacing w:after="0" w:line="260" w:lineRule="auto"/>
        <w:tabs>
          <w:tab w:leader="none" w:pos="12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17"/>
          <w:szCs w:val="17"/>
          <w:b w:val="1"/>
          <w:bCs w:val="1"/>
          <w:color w:val="auto"/>
        </w:rPr>
        <w:t>Refinance Indebtedness</w:t>
      </w:r>
      <w:r>
        <w:rPr>
          <w:rFonts w:ascii="Times New Roman" w:cs="Times New Roman" w:eastAsia="Times New Roman" w:hAnsi="Times New Roman"/>
          <w:sz w:val="17"/>
          <w:szCs w:val="17"/>
          <w:color w:val="auto"/>
        </w:rPr>
        <w:t>”) of any of the Indebtedness described in clauses (B), (E) and (M) hereof (such Indebtedness being referred to herein as the “</w:t>
      </w:r>
      <w:r>
        <w:rPr>
          <w:rFonts w:ascii="Times New Roman" w:cs="Times New Roman" w:eastAsia="Times New Roman" w:hAnsi="Times New Roman"/>
          <w:sz w:val="17"/>
          <w:szCs w:val="17"/>
          <w:b w:val="1"/>
          <w:bCs w:val="1"/>
          <w:color w:val="auto"/>
        </w:rPr>
        <w:t>Original Indebtedness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principal amount or accreted value, if applicable, of such Refinance Indebtedness does not increase the principal amount or accreted value, if applicable, of the Original Indebtedness and, in the case of Indebtedness described in clause (E) hereof, the aggregate principal amount of Indebtedness permitted by this clause (F), together with any Indebtedness permitted by clause (E), shall not exceed the greater of (i) $15,000,000 and (ii) 15% of Consolidated EBITDA in the aggregate at any time outstanding, (ii) any Liens securing such Refinance Indebtedness are not extended to any additional property of any Note Party or any Subsidiary, (iii) no Note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fees and interest are not less favorable to the obligor thereunder than the original terms of such Original Indebtedness, and (vi) if such Original Indebtedness was subordinated in right of payment to the Obligations or any of the other Note Obligations, then the terms and conditions of such Refinance Indebtedness must include subordination terms and conditions that are at least as favorable to the Trustee, the Collateral Agent and the Holders as those that were applicable to such Original Indebtedness;</w:t>
      </w:r>
    </w:p>
    <w:p>
      <w:pPr>
        <w:spacing w:after="0" w:line="389" w:lineRule="exact"/>
        <w:rPr>
          <w:rFonts w:ascii="Times New Roman" w:cs="Times New Roman" w:eastAsia="Times New Roman" w:hAnsi="Times New Roman"/>
          <w:sz w:val="17"/>
          <w:szCs w:val="17"/>
          <w:color w:val="auto"/>
        </w:rPr>
      </w:pPr>
    </w:p>
    <w:p>
      <w:pPr>
        <w:ind w:left="-20" w:firstLine="633"/>
        <w:spacing w:after="0" w:line="296" w:lineRule="auto"/>
        <w:tabs>
          <w:tab w:leader="none" w:pos="12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45" w:lineRule="exact"/>
        <w:rPr>
          <w:rFonts w:ascii="Times New Roman" w:cs="Times New Roman" w:eastAsia="Times New Roman" w:hAnsi="Times New Roman"/>
          <w:sz w:val="17"/>
          <w:szCs w:val="17"/>
          <w:color w:val="auto"/>
        </w:rPr>
      </w:pPr>
    </w:p>
    <w:p>
      <w:pPr>
        <w:ind w:left="-20" w:firstLine="633"/>
        <w:spacing w:after="0" w:line="296" w:lineRule="auto"/>
        <w:tabs>
          <w:tab w:leader="none" w:pos="12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any Note Party in respect of performance bonds, bid bonds, appeal bonds, surety bonds and similar obligations, in each case provided in the ordinary course of business;</w:t>
      </w:r>
    </w:p>
    <w:p>
      <w:pPr>
        <w:spacing w:after="0" w:line="145"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from the endorsement of instruments or other payment items for deposit in the ordinary course of business;</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Indebtedness, judgments not constituting an Event of Default;</w:t>
      </w:r>
    </w:p>
    <w:p>
      <w:pPr>
        <w:spacing w:after="0" w:line="221"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related to Swap Agreements permitted by </w:t>
      </w:r>
      <w:r>
        <w:rPr>
          <w:rFonts w:ascii="Times New Roman" w:cs="Times New Roman" w:eastAsia="Times New Roman" w:hAnsi="Times New Roman"/>
          <w:sz w:val="17"/>
          <w:szCs w:val="17"/>
          <w:b w:val="1"/>
          <w:bCs w:val="1"/>
          <w:color w:val="auto"/>
        </w:rPr>
        <w:t>Section 3.14</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jc w:val="both"/>
        <w:ind w:left="-20" w:firstLine="633"/>
        <w:spacing w:after="0" w:line="270" w:lineRule="auto"/>
        <w:tabs>
          <w:tab w:leader="none" w:pos="12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Indebtedness in the form of Earn-outs or other contingent payment obligations due and payable in connection with any Permitted Acquisition or other Investment permitted hereunder and (ii) Subordinated Indebtedness, including seller notes entered into in connection with Permitted Acquisitions, in an aggregate principal amount for all such Indebtedness under this clause (l) not to exceed the greater of (i) $10,000,000 and (ii) 10% of Consolidated EBITDA in the aggregate at any time outstanding;</w:t>
      </w:r>
    </w:p>
    <w:p>
      <w:pPr>
        <w:spacing w:after="0" w:line="167" w:lineRule="exact"/>
        <w:rPr>
          <w:rFonts w:ascii="Times New Roman" w:cs="Times New Roman" w:eastAsia="Times New Roman" w:hAnsi="Times New Roman"/>
          <w:sz w:val="17"/>
          <w:szCs w:val="17"/>
          <w:color w:val="auto"/>
        </w:rPr>
      </w:pPr>
    </w:p>
    <w:p>
      <w:pPr>
        <w:jc w:val="both"/>
        <w:ind w:left="-20" w:firstLine="633"/>
        <w:spacing w:after="0" w:line="270" w:lineRule="auto"/>
        <w:tabs>
          <w:tab w:leader="none" w:pos="12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any Person that becomes a Subsidiary after the date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(M), together with any Refinance Indebtedness in respect thereof permitted by clause (F) above, shall not exceed $6,000,000 in the aggregate at any time outstanding;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sectPr>
      </w:pPr>
    </w:p>
    <w:bookmarkStart w:id="78" w:name="page79"/>
    <w:bookmarkEnd w:id="78"/>
    <w:p>
      <w:pPr>
        <w:jc w:val="both"/>
        <w:ind w:firstLine="633"/>
        <w:spacing w:after="0" w:line="276" w:lineRule="auto"/>
        <w:tabs>
          <w:tab w:leader="none" w:pos="12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unsecured Indebtedness of any Note Party or wholly-owned Subsidiary of any Note Party in an aggregate principal amount not exceeding $15,000,000 in the aggregate at any time outstanding; provided that the aggregate principal amount of Indebtedness of Subsidiaries that are not Note Parties permitted by this clause (N) shall not exceed $3,500,000 in the aggregate at any time outstanding and shall not be Indebtedness for borrowed money;</w:t>
      </w:r>
    </w:p>
    <w:p>
      <w:pPr>
        <w:spacing w:after="0" w:line="162"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 connection with the deemed financing of insurance premiums arising as a result of the payment of such premiums in installments in the ordinary course of business (expressly excluding third party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principal amount of Indebtedness permitted by this clause (O) shall not exceed $6,000,000 in the aggregate at any time outstanding;</w:t>
      </w:r>
    </w:p>
    <w:p>
      <w:pPr>
        <w:spacing w:after="0" w:line="162" w:lineRule="exact"/>
        <w:rPr>
          <w:rFonts w:ascii="Times New Roman" w:cs="Times New Roman" w:eastAsia="Times New Roman" w:hAnsi="Times New Roman"/>
          <w:sz w:val="17"/>
          <w:szCs w:val="17"/>
          <w:color w:val="auto"/>
        </w:rPr>
      </w:pPr>
    </w:p>
    <w:p>
      <w:pPr>
        <w:jc w:val="both"/>
        <w:ind w:firstLine="633"/>
        <w:spacing w:after="0" w:line="262" w:lineRule="auto"/>
        <w:tabs>
          <w:tab w:leader="none" w:pos="12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Indebtedness of the Company that is evidenced by promissory notes issued by the Company to current or former directors, consultants, managers, officers and employees (or their spouses or estates) of the Company and its Subsidiaries in connection with repurchases or redemptions of the equity interests of the Company issued to such director, consultant, manager, officer or employee so long as (i) such Indebtedness is not guaranteed by the Company or any Subsidiary of the Company, (ii) such Indebtedness does not have any maturity, amortization, interest payments, redemption, sinking fund or other similar payment prior to the Maturity Date then in effect, (iv) such Indebtedness does not have any covenants or defaults (other than a bankruptcy of the Company, change of control and non-payment of such Indebtedness but otherwise subject to the subordination provisions thereof), (v) such Indebtedness is subordinated to the Note Obligations as to right and time of payment and as to other rights and remedies thereunder on terms and conditions reasonably satisfactory to the Collateral Agent, and (vi) the aggregate principal amount of all such Indebtedness outstanding under this clause (P) does not exceed $7,500,000 in the aggregate at any time outstanding;</w:t>
      </w:r>
    </w:p>
    <w:p>
      <w:pPr>
        <w:spacing w:after="0" w:line="386"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Indebtedness, working capital and similar deferred purchase price adjustments entered into in connection with any Permitted Acquisition or other similar Investments permitted hereunder (but for the avoidance of doubt, not Earn-outs, milestone payments or similar payments, or other contingent payment obligations due and payable in connection with any Permitted Acquisition);</w:t>
      </w:r>
    </w:p>
    <w:p>
      <w:pPr>
        <w:spacing w:after="0" w:line="162"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Indebtedness, repurchase obligations in connection with customary customer financing arrangements that the Company or its Subsidiaries enter into in the ordinary course of business consistent with past practice as of the Issue Date; and</w:t>
      </w:r>
    </w:p>
    <w:p>
      <w:pPr>
        <w:spacing w:after="0" w:line="143"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 connection with any Additional Notes issued pursuant to </w:t>
      </w:r>
      <w:r>
        <w:rPr>
          <w:rFonts w:ascii="Times New Roman" w:cs="Times New Roman" w:eastAsia="Times New Roman" w:hAnsi="Times New Roman"/>
          <w:sz w:val="17"/>
          <w:szCs w:val="17"/>
          <w:b w:val="1"/>
          <w:bCs w:val="1"/>
          <w:color w:val="auto"/>
        </w:rPr>
        <w:t>Section 2.03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Additional Notes are issued in exchange for the Existing Notes, (ii) the exchange price is no greater than 85% of par value and (iii) the aggregate principal amount of all such Additional Notes does not exceed fifty million dollars ($50,000,000).</w:t>
      </w:r>
    </w:p>
    <w:p>
      <w:pPr>
        <w:spacing w:after="0" w:line="18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3.09.</w:t>
      </w:r>
      <w:r>
        <w:rPr>
          <w:sz w:val="20"/>
          <w:szCs w:val="20"/>
          <w:color w:val="auto"/>
        </w:rPr>
        <w:tab/>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iens</w:t>
      </w:r>
    </w:p>
    <w:p>
      <w:pPr>
        <w:spacing w:after="0" w:line="225" w:lineRule="exact"/>
        <w:rPr>
          <w:sz w:val="20"/>
          <w:szCs w:val="20"/>
          <w:color w:val="auto"/>
        </w:rPr>
      </w:pPr>
    </w:p>
    <w:p>
      <w:pPr>
        <w:ind w:firstLine="628"/>
        <w:spacing w:after="0" w:line="296" w:lineRule="auto"/>
        <w:rPr>
          <w:sz w:val="20"/>
          <w:szCs w:val="20"/>
          <w:color w:val="auto"/>
        </w:rPr>
      </w:pPr>
      <w:r>
        <w:rPr>
          <w:rFonts w:ascii="Times New Roman" w:cs="Times New Roman" w:eastAsia="Times New Roman" w:hAnsi="Times New Roman"/>
          <w:sz w:val="17"/>
          <w:szCs w:val="17"/>
          <w:color w:val="auto"/>
        </w:rPr>
        <w:t>No Note Party will, nor will it permit any Subsidiary to, create, incur, assume or permit to exist any Lien on any property or asset now owned or hereafter acquired by it, or after the Issue Date, except:</w:t>
      </w:r>
    </w:p>
    <w:p>
      <w:pPr>
        <w:spacing w:after="0" w:line="146" w:lineRule="exact"/>
        <w:rPr>
          <w:sz w:val="20"/>
          <w:szCs w:val="20"/>
          <w:color w:val="auto"/>
        </w:rPr>
      </w:pPr>
    </w:p>
    <w:p>
      <w:pPr>
        <w:ind w:left="1260" w:hanging="627"/>
        <w:spacing w:after="0"/>
        <w:tabs>
          <w:tab w:leader="none" w:pos="12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created pursuant to any Note Document;</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Encumbrances;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9" w:name="page80"/>
    <w:bookmarkEnd w:id="79"/>
    <w:p>
      <w:pPr>
        <w:jc w:val="both"/>
        <w:ind w:firstLine="633"/>
        <w:spacing w:after="0" w:line="267" w:lineRule="auto"/>
        <w:tabs>
          <w:tab w:leader="none" w:pos="1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on any property or asset of the Company or any Subsidiary existing on the date hereof, as set forth in </w:t>
      </w:r>
      <w:r>
        <w:rPr>
          <w:rFonts w:ascii="Times New Roman" w:cs="Times New Roman" w:eastAsia="Times New Roman" w:hAnsi="Times New Roman"/>
          <w:sz w:val="17"/>
          <w:szCs w:val="17"/>
          <w:b w:val="1"/>
          <w:bCs w:val="1"/>
          <w:color w:val="auto"/>
        </w:rPr>
        <w:t>Schedule 3.09(C)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 thereof);</w:t>
      </w:r>
    </w:p>
    <w:p>
      <w:pPr>
        <w:spacing w:after="0" w:line="170" w:lineRule="exact"/>
        <w:rPr>
          <w:rFonts w:ascii="Times New Roman" w:cs="Times New Roman" w:eastAsia="Times New Roman" w:hAnsi="Times New Roman"/>
          <w:sz w:val="17"/>
          <w:szCs w:val="17"/>
          <w:color w:val="auto"/>
        </w:rPr>
      </w:pPr>
    </w:p>
    <w:p>
      <w:pPr>
        <w:jc w:val="both"/>
        <w:ind w:firstLine="633"/>
        <w:spacing w:after="0" w:line="266" w:lineRule="auto"/>
        <w:tabs>
          <w:tab w:leader="none" w:pos="1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fixed or capital assets acquired, constructed or improved by the Company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Liens secure Indebtedness permitted by </w:t>
      </w:r>
      <w:r>
        <w:rPr>
          <w:rFonts w:ascii="Times New Roman" w:cs="Times New Roman" w:eastAsia="Times New Roman" w:hAnsi="Times New Roman"/>
          <w:sz w:val="17"/>
          <w:szCs w:val="17"/>
          <w:b w:val="1"/>
          <w:bCs w:val="1"/>
          <w:color w:val="auto"/>
        </w:rPr>
        <w:t>Section 3.08(E)</w:t>
      </w:r>
      <w:r>
        <w:rPr>
          <w:rFonts w:ascii="Times New Roman" w:cs="Times New Roman" w:eastAsia="Times New Roman" w:hAnsi="Times New Roman"/>
          <w:sz w:val="17"/>
          <w:szCs w:val="17"/>
          <w:color w:val="auto"/>
        </w:rPr>
        <w:t>, (ii) such Liens and the Indebtedness secured thereby are incurred prior to or within 180 days after such acquisition or the completion of such construction or improvement, (iii) the Indebtedness secured thereby does not exceed the cost of acquiring, constructing or improving such fixed or capital assets, (iv) such Liens shall not be on any Intellectual Property and (v) such Liens shall not apply to any other property or assets of the Company or any Subsidiary;</w:t>
      </w:r>
    </w:p>
    <w:p>
      <w:pPr>
        <w:spacing w:after="0" w:line="172" w:lineRule="exact"/>
        <w:rPr>
          <w:rFonts w:ascii="Times New Roman" w:cs="Times New Roman" w:eastAsia="Times New Roman" w:hAnsi="Times New Roman"/>
          <w:sz w:val="17"/>
          <w:szCs w:val="17"/>
          <w:color w:val="auto"/>
        </w:rPr>
      </w:pPr>
    </w:p>
    <w:p>
      <w:pPr>
        <w:jc w:val="both"/>
        <w:ind w:firstLine="633"/>
        <w:spacing w:after="0" w:line="263" w:lineRule="auto"/>
        <w:tabs>
          <w:tab w:leader="none" w:pos="1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is not created in contemplation of or in connection with such acquisition or such Person becoming a Subsidiary, as the case may be, (ii) such Lien shall not apply to any other property or assets of the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 thereof);</w:t>
      </w:r>
    </w:p>
    <w:p>
      <w:pPr>
        <w:spacing w:after="0" w:line="17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a collecting bank arising in the ordinary course of business under Section 4-210 of the UCC in effect in the relevant jurisdiction covering only the items being collected upon;</w:t>
      </w:r>
    </w:p>
    <w:p>
      <w:pPr>
        <w:spacing w:after="0" w:line="14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granted by a Subsidiary that is not a Note Party in favor of the Company or a Guarantor in respect of Indebtedness owed by such Subsidiary to a Note Party;</w:t>
      </w:r>
    </w:p>
    <w:p>
      <w:pPr>
        <w:spacing w:after="0" w:line="14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from precautionary uniform commercial code financing statements filed under any operating lease permitted by this Indenture;</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unearned  insurance  premiums  and  proceeds  thereof  to  secure  premiums  payable  under  insurance  policies  described  in</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3.08(o)</w:t>
      </w:r>
      <w:r>
        <w:rPr>
          <w:rFonts w:ascii="Times New Roman" w:cs="Times New Roman" w:eastAsia="Times New Roman" w:hAnsi="Times New Roman"/>
          <w:sz w:val="17"/>
          <w:szCs w:val="17"/>
          <w:color w:val="auto"/>
        </w:rPr>
        <w:t>;</w:t>
      </w:r>
    </w:p>
    <w:p>
      <w:pPr>
        <w:spacing w:after="0" w:line="20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arising solely on any cash earnest money deposits, escrow arrangements or similar arrangements made by Company or any of its Subsidiaries in connection with any bona fide letters of intent or purchase agreements with respect to Investments permitted under </w:t>
      </w:r>
      <w:r>
        <w:rPr>
          <w:rFonts w:ascii="Times New Roman" w:cs="Times New Roman" w:eastAsia="Times New Roman" w:hAnsi="Times New Roman"/>
          <w:sz w:val="17"/>
          <w:szCs w:val="17"/>
          <w:b w:val="1"/>
          <w:bCs w:val="1"/>
          <w:color w:val="auto"/>
        </w:rPr>
        <w:t>Section 3.11</w:t>
      </w:r>
      <w:r>
        <w:rPr>
          <w:rFonts w:ascii="Times New Roman" w:cs="Times New Roman" w:eastAsia="Times New Roman" w:hAnsi="Times New Roman"/>
          <w:sz w:val="17"/>
          <w:szCs w:val="17"/>
          <w:color w:val="auto"/>
        </w:rPr>
        <w:t>; and</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Liens on assets securing Indebtedness (other than any Indebtedness for borrowed money) or other obligations outstanding at any time in an aggregate amount not to exceed $7,500,000;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p>
      <w:pPr>
        <w:ind w:left="-20" w:firstLine="633"/>
        <w:spacing w:after="0" w:line="296" w:lineRule="auto"/>
        <w:tabs>
          <w:tab w:leader="none" w:pos="123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customs and revenue authorities arising as a matter of law which secure payment of customs duties in connection with the importation of goods in the ordinary course of business;</w:t>
      </w:r>
    </w:p>
    <w:p>
      <w:pPr>
        <w:spacing w:after="0" w:line="145"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deposits paid to landlords in the ordinary course of business securing leases and subleases permitted hereunder;</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Indebtedness incurred in connection with Swap Agreements permitted by Section 3.08(k);</w:t>
      </w:r>
    </w:p>
    <w:p>
      <w:pPr>
        <w:spacing w:after="0" w:line="223" w:lineRule="exact"/>
        <w:rPr>
          <w:rFonts w:ascii="Times New Roman" w:cs="Times New Roman" w:eastAsia="Times New Roman" w:hAnsi="Times New Roman"/>
          <w:sz w:val="17"/>
          <w:szCs w:val="17"/>
          <w:color w:val="auto"/>
        </w:rPr>
      </w:pPr>
    </w:p>
    <w:p>
      <w:pPr>
        <w:jc w:val="both"/>
        <w:ind w:left="-20" w:firstLine="633"/>
        <w:spacing w:after="0" w:line="276" w:lineRule="auto"/>
        <w:tabs>
          <w:tab w:leader="none" w:pos="123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bankers’ liens, rights of setoff and similar Liens incurred on deposits made in the ordinary course of business and contractual rights of set-off relating to pooled deposit or sweep accounts of the Company or any of its Subsidiaries to permit satisfaction of overdraft of similar obligations incurred in the ordinary course of business; and</w:t>
      </w:r>
    </w:p>
    <w:p>
      <w:pPr>
        <w:spacing w:after="0" w:line="162" w:lineRule="exact"/>
        <w:rPr>
          <w:rFonts w:ascii="Times New Roman" w:cs="Times New Roman" w:eastAsia="Times New Roman" w:hAnsi="Times New Roman"/>
          <w:sz w:val="17"/>
          <w:szCs w:val="17"/>
          <w:color w:val="auto"/>
        </w:rPr>
      </w:pPr>
    </w:p>
    <w:p>
      <w:pPr>
        <w:jc w:val="both"/>
        <w:ind w:left="-20" w:firstLine="633"/>
        <w:spacing w:after="0" w:line="266" w:lineRule="auto"/>
        <w:tabs>
          <w:tab w:leader="none" w:pos="123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applicable law; and (iii) rights of expropriation, access or user or any similar right conferred or reserved by or in any applicable, which, in the aggregate for clauses (i), (ii) and (iii) above, are not material, and which do not in any case materially detract from the value of the property subject thereto or interfere with the ordinary conduct of the business of the Company or any of its Subsidiaries.</w:t>
      </w:r>
    </w:p>
    <w:p>
      <w:pPr>
        <w:sectPr>
          <w:pgSz w:w="11900" w:h="16838" w:orient="portrait"/>
          <w:cols w:equalWidth="0" w:num="1">
            <w:col w:w="11220"/>
          </w:cols>
          <w:pgMar w:left="340" w:top="775" w:right="339" w:bottom="1440" w:gutter="0" w:footer="0" w:header="0"/>
        </w:sectPr>
      </w:pPr>
    </w:p>
    <w:p>
      <w:pPr>
        <w:spacing w:after="0" w:line="1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eserved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560" w:space="620"/>
            <w:col w:w="9040"/>
          </w:cols>
          <w:pgMar w:left="340" w:top="775" w:right="339" w:bottom="1440" w:gutter="0" w:footer="0" w:header="0"/>
          <w:type w:val="continuous"/>
        </w:sectPr>
      </w:pPr>
    </w:p>
    <w:p>
      <w:pPr>
        <w:spacing w:after="0" w:line="4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3.11.</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nvestments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560" w:space="620"/>
            <w:col w:w="9040"/>
          </w:cols>
          <w:pgMar w:left="340" w:top="775" w:right="339" w:bottom="1440" w:gutter="0" w:footer="0" w:header="0"/>
          <w:type w:val="continuous"/>
        </w:sectPr>
      </w:pP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Note Party will, nor will it permit any Subsidiary to, make or permit to exist any Investment on or after the Issue Date, except:</w:t>
      </w:r>
    </w:p>
    <w:p>
      <w:pPr>
        <w:spacing w:after="0" w:line="223" w:lineRule="exact"/>
        <w:rPr>
          <w:sz w:val="20"/>
          <w:szCs w:val="20"/>
          <w:color w:val="auto"/>
        </w:rPr>
      </w:pPr>
    </w:p>
    <w:p>
      <w:pPr>
        <w:ind w:left="1240" w:hanging="627"/>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Investments;</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existence on the date hereof and described in Schedule 3.11(B);</w:t>
      </w:r>
    </w:p>
    <w:p>
      <w:pPr>
        <w:spacing w:after="0" w:line="223" w:lineRule="exact"/>
        <w:rPr>
          <w:rFonts w:ascii="Times New Roman" w:cs="Times New Roman" w:eastAsia="Times New Roman" w:hAnsi="Times New Roman"/>
          <w:sz w:val="17"/>
          <w:szCs w:val="17"/>
          <w:color w:val="auto"/>
        </w:rPr>
      </w:pPr>
    </w:p>
    <w:p>
      <w:pPr>
        <w:jc w:val="both"/>
        <w:ind w:left="-20" w:firstLine="633"/>
        <w:spacing w:after="0" w:line="261" w:lineRule="auto"/>
        <w:tabs>
          <w:tab w:leader="none" w:pos="123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equity investments (including capital contributions) made by the Company and the Subsidiaries in equity interests in their respective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such equity interests held by a Note Party shall be pledged pursuant to the Security Agreement to the extent required thereunder, (ii) any such equity investments in a Subsidiary that is not a Note Party shall be made in cash only, unless they are made in connection with the forgiveness of any intercompany balances in the process of winding down a Foreign Subsidiary in connection with transitioning from a direct sales model to a distributor model in a manner substantially consistent with the type of distributor model publicly disclosed by the Company prior to the Issue Date, (iii) no Subsidiary that is not a Note Party may hold any equity interests in a Note Party, and (iv) the aggregate outstanding amount of investments by the Note Parties in Subsidiaries that are not Note Parties pursuant to this Section 3.11(C) (together with outstanding intercompany loans permitted under clause (ii) of the proviso to Section 3.11(D), principal amount of Indebtedness subject to Guarantees permitted under the proviso to Section 3.11(E), Investments permitted under Section 3.11(P), Restricted Payments permitted under Section 3.15(A)(vi) and payments of Indebtedness permitted under Section 3.15(B)(vii)) shall not exceed $10,000,000 in the aggregate at any time outstanding (in each case determined without regard to any write-downs or write-offs);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type w:val="continuous"/>
        </w:sectPr>
      </w:pPr>
    </w:p>
    <w:bookmarkStart w:id="81" w:name="page82"/>
    <w:bookmarkEnd w:id="81"/>
    <w:p>
      <w:pPr>
        <w:jc w:val="both"/>
        <w:ind w:left="-20" w:firstLine="633"/>
        <w:spacing w:after="0" w:line="263"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loans, extensions of credit or advances made by any Note Party to any Subsidiary and made by any Subsidiary to a Note Party or any other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such loans and advances made by a Note Party shall be pledged pursuant to the Security Agreement and evidenced by a promissory note to the extent required by the Security Agreement and (ii) the outstanding amount of such loans and advances made by the Note Parties to Subsidiaries that are not Note Parties pursuant to this Section 3.11(D) (together with outstanding investments permitted under clause (ii) of the proviso to Section 3.11(C), outstanding principal amount of Indebtedness subject to Guarantees permitted under the proviso to Section 3.11(E), Investments permitted under Section 3.11(P), Restricted Payments permitted under Section 3.15(A)(vi) and payments of Indebtedness permitted under Section 3.15(B)(vii)) shall not exceed $10,000,000 in the aggregate at any time outstanding (in each case determined without regard to any write-downs or write-offs);</w:t>
      </w:r>
    </w:p>
    <w:p>
      <w:pPr>
        <w:spacing w:after="0" w:line="175" w:lineRule="exact"/>
        <w:rPr>
          <w:rFonts w:ascii="Times New Roman" w:cs="Times New Roman" w:eastAsia="Times New Roman" w:hAnsi="Times New Roman"/>
          <w:sz w:val="17"/>
          <w:szCs w:val="17"/>
          <w:color w:val="auto"/>
        </w:rPr>
      </w:pPr>
    </w:p>
    <w:p>
      <w:pPr>
        <w:jc w:val="both"/>
        <w:ind w:left="-20" w:firstLine="633"/>
        <w:spacing w:after="0" w:line="266"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Guarantees constituting Indebtedness permitted by Section 3.08,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principal amount of Indebtedness of Subsidiaries that are not Note Parties that is Guaranteed by any Note Party pursuant to this Section 3.11(E) (together with outstanding investments permitted under clause (ii) of the proviso to Section 3.11(C), outstanding intercompany loans permitted under clause (ii) of the proviso to Section 3.11(D), Investments permitted under Section 3.11(P), Restricted Payments permitted under Section 3.15(A)(vi) and payments of Indebtedness permitted under Section 3.15(B)(vii)) shall not exceed $10,000,000 in the aggregate at any time outstanding (in each case determined without regard to any write-downs or write-offs);</w:t>
      </w:r>
    </w:p>
    <w:p>
      <w:pPr>
        <w:spacing w:after="0" w:line="172" w:lineRule="exact"/>
        <w:rPr>
          <w:rFonts w:ascii="Times New Roman" w:cs="Times New Roman" w:eastAsia="Times New Roman" w:hAnsi="Times New Roman"/>
          <w:sz w:val="17"/>
          <w:szCs w:val="17"/>
          <w:color w:val="auto"/>
        </w:rPr>
      </w:pPr>
    </w:p>
    <w:p>
      <w:pPr>
        <w:jc w:val="both"/>
        <w:ind w:left="-20" w:firstLine="633"/>
        <w:spacing w:after="0" w:line="288"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or advances made by a Note Party to its employees on an arms-length basis in the ordinary course of business consistent with past practices for travel and entertainment expenses, relocation costs and similar purposes up to a maximum of $2,500,000 in the aggregate at any one time outstanding;</w:t>
      </w:r>
    </w:p>
    <w:p>
      <w:pPr>
        <w:spacing w:after="0" w:line="368" w:lineRule="exact"/>
        <w:rPr>
          <w:rFonts w:ascii="Times New Roman" w:cs="Times New Roman" w:eastAsia="Times New Roman" w:hAnsi="Times New Roman"/>
          <w:sz w:val="17"/>
          <w:szCs w:val="17"/>
          <w:color w:val="auto"/>
        </w:rPr>
      </w:pPr>
    </w:p>
    <w:p>
      <w:pPr>
        <w:ind w:left="-20" w:firstLine="633"/>
        <w:spacing w:after="0" w:line="296"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payable, or stock or other securities issued by any Person obligated on an account to a Note Party pursuant to negotiated agreements with respect to settlement of such Person’s accounts in the ordinary course of business, consistent with past practices;</w:t>
      </w:r>
    </w:p>
    <w:p>
      <w:pPr>
        <w:spacing w:after="0" w:line="145"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the form of Swap Agreements permitted by Section 3.14;</w:t>
      </w:r>
    </w:p>
    <w:p>
      <w:pPr>
        <w:spacing w:after="0" w:line="223" w:lineRule="exact"/>
        <w:rPr>
          <w:rFonts w:ascii="Times New Roman" w:cs="Times New Roman" w:eastAsia="Times New Roman" w:hAnsi="Times New Roman"/>
          <w:sz w:val="17"/>
          <w:szCs w:val="17"/>
          <w:color w:val="auto"/>
        </w:rPr>
      </w:pPr>
    </w:p>
    <w:p>
      <w:pPr>
        <w:jc w:val="both"/>
        <w:ind w:left="-20" w:firstLine="633"/>
        <w:spacing w:after="0" w:line="276"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of any Person existing at the time such Person becomes a Subsidiary of the Company or consolidates or merges with the Company or any Subsidiary (including in connection with a Permitted Acquisition), so long as such investments were not made in contemplation of such Person becoming a Subsidiary or of such merger;</w:t>
      </w:r>
    </w:p>
    <w:p>
      <w:pPr>
        <w:spacing w:after="0" w:line="162"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received in connection with the Disposition of assets permitted by Section 3.12;</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constituting deposits described in clauses (c) and (d) of the definition of the term “Permitted Encumbrances”;</w:t>
      </w:r>
    </w:p>
    <w:p>
      <w:pPr>
        <w:spacing w:after="0" w:line="223" w:lineRule="exact"/>
        <w:rPr>
          <w:rFonts w:ascii="Times New Roman" w:cs="Times New Roman" w:eastAsia="Times New Roman" w:hAnsi="Times New Roman"/>
          <w:sz w:val="17"/>
          <w:szCs w:val="17"/>
          <w:color w:val="auto"/>
        </w:rPr>
      </w:pPr>
    </w:p>
    <w:p>
      <w:pPr>
        <w:jc w:val="both"/>
        <w:ind w:left="-20" w:firstLine="633"/>
        <w:spacing w:after="0" w:line="276"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has occurred and is continuing or would result therefrom, the amount of Qualified Equity Proceeds received by the Company substantially contemporaneously with the making of such investment (and in any event excluding any Qualified Equity Proceeds received prior to the making of such investment);</w:t>
      </w:r>
    </w:p>
    <w:p>
      <w:pPr>
        <w:spacing w:after="0" w:line="162"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endorsements for collection or deposit in the ordinary course of business;</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Acquisitions;</w:t>
      </w:r>
    </w:p>
    <w:p>
      <w:pPr>
        <w:spacing w:after="0" w:line="22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received as the non-cash portion of consideration received in connection with transactions permitted pursuant to Section 3.12;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sectPr>
      </w:pPr>
    </w:p>
    <w:bookmarkStart w:id="82" w:name="page83"/>
    <w:bookmarkEnd w:id="82"/>
    <w:p>
      <w:pPr>
        <w:jc w:val="both"/>
        <w:ind w:firstLine="633"/>
        <w:spacing w:after="0" w:line="264" w:lineRule="auto"/>
        <w:tabs>
          <w:tab w:leader="none" w:pos="1256"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Investments, (i) intercompany payables arising from sales of inventory by the Company or its Subsidiaries in the ordinary course of business consistent with past practice as of the Issue Date, (ii) repurchase obligations in connection with customary customer financing arrangements that the Company or its Subsidiaries enter into in the ordinary course of business consistent with past practice, in each case, as of the Issue Date,</w:t>
      </w:r>
    </w:p>
    <w:p>
      <w:pPr>
        <w:jc w:val="both"/>
        <w:ind w:firstLine="5"/>
        <w:spacing w:after="0" w:line="261" w:lineRule="auto"/>
        <w:tabs>
          <w:tab w:leader="none" w:pos="31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intercompany advances between and among the Company and its Subsidiaries relating to their payroll, professional employer organization processes, tax and accounting operations, or general administrative costs and expenses, in each case, in the ordinary course of business and consistent with past practice;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Investments made by a Note Party in a Subsidiary that is not a Note Party pursuant to this sub-clause (iii) shall not exceed $10,000,000 in the aggregate at any time outstanding;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all intercompany payables owing to any Note Party pursuant to this clause (P) shall be evidenced by an intercompany note and pledged pursuant to the Security Agreement;</w:t>
      </w:r>
    </w:p>
    <w:p>
      <w:pPr>
        <w:spacing w:after="0" w:line="175"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investments (other than Acquisitions) in addition to those otherwise permitted by this Section in an amount not to exceed (together with outstanding investments permitted under clause (ii) of the proviso to Section 3.11(C), outstanding intercompany loans permitted under clause (ii) of the proviso to Section 3.11(D), outstanding principal amount of Indebtedness subject to Guarantees permitted under the proviso to Section 3.11(E), Restricted Payments permitted under Section 3.15(A)(vi) and payments of Indebtedness permitted under Section 3.15(B)(vii)) $10,000,000 in the aggregate at any time outstanding;</w:t>
      </w:r>
    </w:p>
    <w:p>
      <w:pPr>
        <w:spacing w:after="0" w:line="167" w:lineRule="exact"/>
        <w:rPr>
          <w:rFonts w:ascii="Times New Roman" w:cs="Times New Roman" w:eastAsia="Times New Roman" w:hAnsi="Times New Roman"/>
          <w:sz w:val="17"/>
          <w:szCs w:val="17"/>
          <w:color w:val="auto"/>
        </w:rPr>
      </w:pPr>
    </w:p>
    <w:p>
      <w:pPr>
        <w:jc w:val="both"/>
        <w:ind w:firstLine="633"/>
        <w:spacing w:after="0" w:line="260" w:lineRule="auto"/>
        <w:tabs>
          <w:tab w:leader="none" w:pos="125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investments that are comprised of (i) (a) intercompany balances arising from transfer pricing arrangements prepared by KPMG or another nationally recognized accounting firm, between the Company and its Subsidiaries, in the ordinary course of business, consistent with past practice as of the Issue Date and in accordance with applicable law, including with the legal requirements of the various tax laws of the jurisdictions in which such Persons operate and the non-cash settlement of such balances through the netting of intercompany receivables and payables for Foreign Subsidiaries, other than Hydrafacial Trading (Shanghai) Co., Ltd. in China (“</w:t>
      </w:r>
      <w:r>
        <w:rPr>
          <w:rFonts w:ascii="Times New Roman" w:cs="Times New Roman" w:eastAsia="Times New Roman" w:hAnsi="Times New Roman"/>
          <w:sz w:val="17"/>
          <w:szCs w:val="17"/>
          <w:b w:val="1"/>
          <w:bCs w:val="1"/>
          <w:color w:val="auto"/>
        </w:rPr>
        <w:t>HF China</w:t>
      </w:r>
      <w:r>
        <w:rPr>
          <w:rFonts w:ascii="Times New Roman" w:cs="Times New Roman" w:eastAsia="Times New Roman" w:hAnsi="Times New Roman"/>
          <w:sz w:val="17"/>
          <w:szCs w:val="17"/>
          <w:color w:val="auto"/>
        </w:rPr>
        <w:t xml:space="preserve">”), and (b) before September 30, 2025, an amount not to exceed $25,000,000 in the aggregate for intercompany balances arising from transfer pricing arrangements prepared by KPMG or another nationally recognized accounting firm, from the Company to HF China, in accordance with applicable law, including with the legal requirements of the various tax laws of the jurisdictions in which such Persons operate and the cash settlements for such balances;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HF China shall return to the Company a portion of such balances such that on or prior to September 30, 2025, the amount of such investment by the Company in HF China, after funds are returned to the Company, shall not exceed $5,000,000 in the aggregate;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after September 30, 2025, the aggregate amount of investments pursuant to this clause 3.11(R)(i)(b) shall not exceed $5,000,000 at any time, or (ii) accounts receivable arising and trade credit granted to bona fide customers in the ordinary course of business and any securities received in satisfaction or partial satisfaction thereof from financially troubled account debtors to the extent reasonably necessary in order to prevent or limit loss and prepayments and other credits to suppliers made in the ordinary course of business consistent with the past practices as of the Issue Date of the Company and its Subsidiaries;</w:t>
      </w:r>
    </w:p>
    <w:p>
      <w:pPr>
        <w:spacing w:after="0" w:line="386"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Investments, investments for the purchase of tangible goods pursuant to bona fide distributor agreements; and</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Investments, customary revenue and sales based royalties in connection with the sale of any product, made in the ordinary course of business.</w:t>
      </w:r>
    </w:p>
    <w:p>
      <w:pPr>
        <w:spacing w:after="0" w:line="146" w:lineRule="exact"/>
        <w:rPr>
          <w:sz w:val="20"/>
          <w:szCs w:val="20"/>
          <w:color w:val="auto"/>
        </w:rPr>
      </w:pPr>
    </w:p>
    <w:p>
      <w:pPr>
        <w:ind w:firstLine="628"/>
        <w:spacing w:after="0" w:line="296" w:lineRule="auto"/>
        <w:rPr>
          <w:sz w:val="20"/>
          <w:szCs w:val="20"/>
          <w:color w:val="auto"/>
        </w:rPr>
      </w:pPr>
      <w:r>
        <w:rPr>
          <w:rFonts w:ascii="Times New Roman" w:cs="Times New Roman" w:eastAsia="Times New Roman" w:hAnsi="Times New Roman"/>
          <w:sz w:val="17"/>
          <w:szCs w:val="17"/>
          <w:color w:val="auto"/>
        </w:rPr>
        <w:t>In determining the amount of investments outstanding at any time, investments shall always be taken at the original amount invested, without adjustment for subsequent increases or decreases in the value of such Investment.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3" w:name="page84"/>
    <w:bookmarkEnd w:id="83"/>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3.12.</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sset</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No Note Party will, nor will it permit any Subsidiary to, Dispose of any asset or suffer to exist such Disposition, including any equity interest in another entity owned by it, nor will the Company permit any Subsidiary to issue any additional equity interest in such Subsidiary or suffer to exist such issuance (other than to the Company or another Subsidiary in compliance with Section 3.11) on or after the Issue Date, except:</w:t>
      </w:r>
    </w:p>
    <w:p>
      <w:pPr>
        <w:spacing w:after="0" w:line="163" w:lineRule="exact"/>
        <w:rPr>
          <w:sz w:val="20"/>
          <w:szCs w:val="20"/>
          <w:color w:val="auto"/>
        </w:rPr>
      </w:pPr>
    </w:p>
    <w:p>
      <w:pPr>
        <w:ind w:left="1260" w:hanging="627"/>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(i) inventory in the ordinary course of business, and (ii) used, obsolete, worn out or surplus equipment in the ordinary course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business;</w:t>
      </w:r>
    </w:p>
    <w:p>
      <w:pPr>
        <w:spacing w:after="0" w:line="20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accounts (excluding Dispositions in a factoring arrangement) in connection with the compromise, settlement or collection</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w:t>
      </w:r>
    </w:p>
    <w:p>
      <w:pPr>
        <w:spacing w:after="0" w:line="20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permitted by Section 3.11 and Restricted Payments permitted by Section 3.15;</w:t>
      </w:r>
    </w:p>
    <w:p>
      <w:pPr>
        <w:spacing w:after="0" w:line="223"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(other than of Material Intellectual Property) by any Foreign Subsidiary in connection with the process of winding down a Foreign Subsidiary in connection with transitioning such Foreign Subsidiary from a direct sales model to a distributor model in a manner substantially consistent with the type of distributor model publicly disclosed by the Company prior to the Issue Date;</w:t>
      </w:r>
    </w:p>
    <w:p>
      <w:pPr>
        <w:spacing w:after="0" w:line="162"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resulting from any casualty or other insured damage to, or any taking under power of eminent domain or by condemnation or similar proceeding of, any property or asset (other than Intellectual Property) of the Company or any Subsidiary;</w:t>
      </w:r>
    </w:p>
    <w:p>
      <w:pPr>
        <w:spacing w:after="0" w:line="145"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Dispositions of assets (other than Intellectual Property and equity interests in a Subsidiary unless all equity interests in such Subsidiary are sold) that are not permitted by any other clause of this Section;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fair market value of all assets Disposed of in reliance upon this paragraph (G) shall not exceed $6,000,000 during any fiscal year of the Company;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any Dispositions permitted under this clause (G) shall be made for fair market value and for at least 75% cash consideration;</w:t>
      </w:r>
    </w:p>
    <w:p>
      <w:pPr>
        <w:spacing w:after="0" w:line="167"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abandonment, cancellation, non-renewal or discontinuance of use or maintenance of any non-Material Intellectual Property, so long as such abandonment, cancellation, non-renewal, or discontinuance, individually or in the aggregate, is undertaken reasonably and in good faith by the Company or a Subsidiary and would not reasonably be expected to interfere in any material respect with the ordinary conduct of business of the Company or any Subsidiary;</w:t>
      </w:r>
    </w:p>
    <w:p>
      <w:pPr>
        <w:spacing w:after="0" w:line="162"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3.20</w:t>
      </w:r>
      <w:r>
        <w:rPr>
          <w:rFonts w:ascii="Times New Roman" w:cs="Times New Roman" w:eastAsia="Times New Roman" w:hAnsi="Times New Roman"/>
          <w:sz w:val="17"/>
          <w:szCs w:val="17"/>
          <w:color w:val="auto"/>
        </w:rPr>
        <w:t>, non-exclusive licenses of Intellectual Property granted in the ordinary course of business and that do not interfere in any material respect with the ordinary conduct of business of the Company or any Subsidiary;</w:t>
      </w:r>
    </w:p>
    <w:p>
      <w:pPr>
        <w:spacing w:after="0" w:line="145"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assets (i) by the Company or any Guarantor to any Guarantor or to the Company, (ii) by any Subsidiary that is not a Guarantor to the Company or another Subsidiary that is not a Guarantor, and (iii) by the Company or any Guarantor to any Subsidiary that is not a Note Party for bona fide business purposes so long as (x) the value of such assets does not exceed $6,000,000 in the aggregate in any fiscal year and (y) such assets shall be cash or Permitted Investments only;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4" w:name="page85"/>
    <w:bookmarkEnd w:id="84"/>
    <w:p>
      <w:pPr>
        <w:ind w:left="1260" w:hanging="627"/>
        <w:spacing w:after="0"/>
        <w:tabs>
          <w:tab w:leader="none" w:pos="1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or unwinding of any Swap Agreement permitted hereunder in accordance with its terms;</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cash or Permitted Investments of the Company and its Subsidiaries in a manner not otherwise prohibited by this Indenture; and</w:t>
      </w:r>
    </w:p>
    <w:p>
      <w:pPr>
        <w:spacing w:after="0" w:line="221"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(other than with respect to Intellectual Property);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22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such Disposition (other than any such Disposition made pursuant to a legally binding commitment entered into at a time when no Default exists), no Default shall exist or would result from such Disposition;</w:t>
      </w:r>
    </w:p>
    <w:p>
      <w:pPr>
        <w:spacing w:after="0" w:line="14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of the Subsidiaries shall receive not less than 75.00% of such consideration in the form of cash or Permitted Investments; provided however, that for the purposes of this clause (ii) each of the following shall be deemed to be cash;</w:t>
      </w:r>
    </w:p>
    <w:p>
      <w:pPr>
        <w:spacing w:after="0" w:line="145" w:lineRule="exact"/>
        <w:rPr>
          <w:rFonts w:ascii="Times New Roman" w:cs="Times New Roman" w:eastAsia="Times New Roman" w:hAnsi="Times New Roman"/>
          <w:sz w:val="17"/>
          <w:szCs w:val="17"/>
          <w:color w:val="auto"/>
        </w:rPr>
      </w:pPr>
    </w:p>
    <w:p>
      <w:pPr>
        <w:jc w:val="both"/>
        <w:ind w:left="640" w:firstLine="1249"/>
        <w:spacing w:after="0" w:line="270" w:lineRule="auto"/>
        <w:tabs>
          <w:tab w:leader="none" w:pos="2524"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liabilities (as shown on the Company’s or such Subsidiary’s most recent balance sheet provided hereunder or in the footnotes thereto) of the Company or such Subsidiary, other than liabilities that are by their terms subordinated to the payment in cash of the Obligations, that are assumed by the transferee with respect to the applicable Disposition and for which the Company and all of the Subsidiaries shall have been validly released by all applicable creditors in writing;</w:t>
      </w:r>
    </w:p>
    <w:p>
      <w:pPr>
        <w:spacing w:after="0" w:line="167" w:lineRule="exact"/>
        <w:rPr>
          <w:rFonts w:ascii="Times New Roman" w:cs="Times New Roman" w:eastAsia="Times New Roman" w:hAnsi="Times New Roman"/>
          <w:sz w:val="17"/>
          <w:szCs w:val="17"/>
          <w:color w:val="auto"/>
        </w:rPr>
      </w:pPr>
    </w:p>
    <w:p>
      <w:pPr>
        <w:jc w:val="both"/>
        <w:ind w:left="640" w:firstLine="1249"/>
        <w:spacing w:after="0" w:line="276" w:lineRule="auto"/>
        <w:tabs>
          <w:tab w:leader="none" w:pos="2524"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received by such Company or Subsidiary from such transferee that are converted by such Company or Subsidiary into cash or Permitted Investments (to the extent of the cash or Permitted Investments received) within one hundred and eighty days following the closing of the applicable Disposition; and</w:t>
      </w:r>
    </w:p>
    <w:p>
      <w:pPr>
        <w:spacing w:after="0" w:line="162"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Disposition shall be for no less than the fair market value of such property at the time of such Disposition, as determined by the Company or such Subsidiary in good faith.</w:t>
      </w:r>
    </w:p>
    <w:p>
      <w:pPr>
        <w:spacing w:after="0" w:line="17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3.13.</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ale and</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easeback</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No Note Party will, nor will it permit any Subsidiary to, enter into or suffer to exist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7"/>
          <w:szCs w:val="17"/>
          <w:b w:val="1"/>
          <w:bCs w:val="1"/>
          <w:color w:val="auto"/>
        </w:rPr>
        <w:t>Sale and Leaseback Transaction</w:t>
      </w:r>
      <w:r>
        <w:rPr>
          <w:rFonts w:ascii="Times New Roman" w:cs="Times New Roman" w:eastAsia="Times New Roman" w:hAnsi="Times New Roman"/>
          <w:sz w:val="17"/>
          <w:szCs w:val="17"/>
          <w:color w:val="auto"/>
        </w:rPr>
        <w:t>”) on or after the Issue Date.</w:t>
      </w:r>
    </w:p>
    <w:p>
      <w:pPr>
        <w:spacing w:after="0" w:line="19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3.14.</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wap</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No Note Party will, nor will it permit any Subsidiary to, enter into or suffer to exist any Swap Agreement, except (a) Swap Agreements entered into to hedge or mitigate risks to which the Company or any Subsidiary has actual exposure (other than those in respect of equity interests of the Company or any Subsidiary), (b) Swap Agreements entered into in order to effectively cap, collar or exchange interest rates (from floating to fixed rates, from one floating rate to another floating rate or otherwise) with respect to any interest-bearing liability or investment of the Company or any Subsidiary and (c) the Capped Call Transactions.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5" w:name="page86"/>
    <w:bookmarkEnd w:id="85"/>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3.15.</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estricted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ayments</w:t>
      </w:r>
      <w:r>
        <w:rPr>
          <w:rFonts w:ascii="Times New Roman" w:cs="Times New Roman" w:eastAsia="Times New Roman" w:hAnsi="Times New Roman"/>
          <w:sz w:val="17"/>
          <w:szCs w:val="17"/>
          <w:b w:val="1"/>
          <w:bCs w:val="1"/>
          <w:color w:val="auto"/>
        </w:rPr>
        <w:t>; C</w:t>
      </w:r>
      <w:r>
        <w:rPr>
          <w:rFonts w:ascii="Times New Roman" w:cs="Times New Roman" w:eastAsia="Times New Roman" w:hAnsi="Times New Roman"/>
          <w:sz w:val="11"/>
          <w:szCs w:val="11"/>
          <w:b w:val="1"/>
          <w:bCs w:val="1"/>
          <w:color w:val="auto"/>
        </w:rPr>
        <w:t>ertain</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ayments of</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ndebtedness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firstLine="633"/>
        <w:spacing w:after="0" w:line="296" w:lineRule="auto"/>
        <w:tabs>
          <w:tab w:leader="none" w:pos="12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nor will it permit any Subsidiary to, declare or make, or agree to declare or make, directly or indirectly, any Restricted Payment, or incur or suffer to exist any obligation (contingent or otherwise) to do so on or after the Issue Date, except:</w:t>
      </w:r>
    </w:p>
    <w:p>
      <w:pPr>
        <w:spacing w:after="0" w:line="145" w:lineRule="exact"/>
        <w:rPr>
          <w:rFonts w:ascii="Times New Roman" w:cs="Times New Roman" w:eastAsia="Times New Roman" w:hAnsi="Times New Roman"/>
          <w:sz w:val="17"/>
          <w:szCs w:val="17"/>
          <w:color w:val="auto"/>
        </w:rPr>
      </w:pPr>
    </w:p>
    <w:p>
      <w:pPr>
        <w:jc w:val="both"/>
        <w:ind w:left="620" w:firstLine="621"/>
        <w:spacing w:after="0" w:line="273" w:lineRule="auto"/>
        <w:tabs>
          <w:tab w:leader="none" w:pos="18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declare and pay dividends with respect to its common stock payable solely in additional shares of its common stock, and, with respect to its preferred stock (other than Disqualified Equity Interests), payable solely in additional shares of such preferred stock (other than Disqualified Equity Interests) or in shares of its common stock and may issue any option, warrant or other right to acquire any such common stock;</w:t>
      </w:r>
    </w:p>
    <w:p>
      <w:pPr>
        <w:spacing w:after="0" w:line="379"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Subsidiaries may declare and pay dividends in cash ratably with respect to their equity interests and the Subsidiaries may make distributions or payments in cash to the Company or other Subsidiaries of the Company;</w:t>
      </w:r>
    </w:p>
    <w:p>
      <w:pPr>
        <w:spacing w:after="0" w:line="145" w:lineRule="exact"/>
        <w:rPr>
          <w:rFonts w:ascii="Times New Roman" w:cs="Times New Roman" w:eastAsia="Times New Roman" w:hAnsi="Times New Roman"/>
          <w:sz w:val="17"/>
          <w:szCs w:val="17"/>
          <w:color w:val="auto"/>
        </w:rPr>
      </w:pPr>
    </w:p>
    <w:p>
      <w:pPr>
        <w:jc w:val="both"/>
        <w:ind w:left="620" w:firstLine="621"/>
        <w:spacing w:after="0" w:line="288" w:lineRule="auto"/>
        <w:tabs>
          <w:tab w:leader="none" w:pos="18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of equity interests (other than Disqualified Equity Interest) deemed to occur upon the exercise of stock options or warrants if such repurchased equity interests represents a portion of the exercise price of such options or warrants pursuant to a “cashless exercise” or similar feature;</w:t>
      </w:r>
    </w:p>
    <w:p>
      <w:pPr>
        <w:spacing w:after="0" w:line="368"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Subsidiary may receive or accept the return to the Company or any Subsidiary of Stock of the Company constituting a portion of the purchase price consideration in settlement of indemnification claims in connection with a Permitted Acquisition;</w:t>
      </w:r>
    </w:p>
    <w:p>
      <w:pPr>
        <w:spacing w:after="0" w:line="145"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Restricted Payments in cash, not exceeding the greater of (i) $5,000,000 and (ii) 5% of Consolidated EBITDA in the aggregate during any fiscal year, pursuant to and in accordance with stock option plans or other benefit plans for management or employees of the Company and its Subsidiaries;</w:t>
      </w:r>
    </w:p>
    <w:p>
      <w:pPr>
        <w:spacing w:after="0" w:line="162"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Restricted Payments in cash, not exceeding (together with outstanding investments permitted under clause (ii) of the proviso to Section 3.11(C), outstanding intercompany loans permitted under clause (ii) of the proviso to Section 3.11(D), outstanding principal amount of Indebtedness subject to Guarantees permitted under the proviso to Section 3.11(E), Investments permitted under Section 3.11(P) and payments of Indebtedness permitted under Section 3.15(B)(vii)) $10,000,000 in the aggregate at any time outstanding after the Issue Date;</w:t>
      </w:r>
    </w:p>
    <w:p>
      <w:pPr>
        <w:spacing w:after="0" w:line="167"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 and</w:t>
      </w:r>
    </w:p>
    <w:p>
      <w:pPr>
        <w:spacing w:after="0" w:line="223" w:lineRule="exact"/>
        <w:rPr>
          <w:rFonts w:ascii="Times New Roman" w:cs="Times New Roman" w:eastAsia="Times New Roman" w:hAnsi="Times New Roman"/>
          <w:sz w:val="17"/>
          <w:szCs w:val="17"/>
          <w:color w:val="auto"/>
        </w:rPr>
      </w:pPr>
    </w:p>
    <w:p>
      <w:pPr>
        <w:jc w:val="both"/>
        <w:ind w:left="620" w:firstLine="621"/>
        <w:spacing w:after="0" w:line="268" w:lineRule="auto"/>
        <w:tabs>
          <w:tab w:leader="none" w:pos="18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cash in lieu of the issuance of fractional shares of Capital Stock in connection with any dividend, split or reverse split of, or upon exercise or conversion of warrants, options or other securities exercisable or convertible into, Capital Stock of the Company or in</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connection with the issuance of any dividend otherwise permitted to be made under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3.15</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86" w:name="page87"/>
    <w:bookmarkEnd w:id="86"/>
    <w:p>
      <w:pPr>
        <w:jc w:val="both"/>
        <w:ind w:firstLine="633"/>
        <w:spacing w:after="0" w:line="266" w:lineRule="auto"/>
        <w:tabs>
          <w:tab w:leader="none" w:pos="125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Note Party will, nor will it permit any Subsidiary to, make or agree to pay or make, directly or indirectly, any payment or other distribution (whether in cash, securities or other property) of or in respect of principal of or interest on any Indebtedness for borrowed money (other than Indebtedness incurred pursuant to </w:t>
      </w:r>
      <w:r>
        <w:rPr>
          <w:rFonts w:ascii="Times New Roman" w:cs="Times New Roman" w:eastAsia="Times New Roman" w:hAnsi="Times New Roman"/>
          <w:sz w:val="17"/>
          <w:szCs w:val="17"/>
          <w:b w:val="1"/>
          <w:bCs w:val="1"/>
          <w:color w:val="auto"/>
        </w:rPr>
        <w:t>Section 3.08(C)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3.08(E)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3.08(K)</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3.08(L)</w:t>
      </w:r>
      <w:r>
        <w:rPr>
          <w:rFonts w:ascii="Times New Roman" w:cs="Times New Roman" w:eastAsia="Times New Roman" w:hAnsi="Times New Roman"/>
          <w:sz w:val="17"/>
          <w:szCs w:val="17"/>
          <w:color w:val="auto"/>
        </w:rPr>
        <w:t>), or any payment or other distribution (whether in cash, securities or other property), including any sinking fund or similar deposit, on account of the purchase, redemption, retirement, acquisition, cancellation or termination of any such Indebtedness for borrowed money, except:</w:t>
      </w:r>
    </w:p>
    <w:p>
      <w:pPr>
        <w:spacing w:after="0" w:line="172"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Indebtedness created under the Note Documents;</w:t>
      </w:r>
    </w:p>
    <w:p>
      <w:pPr>
        <w:spacing w:after="0" w:line="223"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Indebtedness created under the Existing Indenture and Existing Notes (for the avoidance of doubt, subject to the limitations set forth in clause (iii) of the final paragraph of this Section 3.15);</w:t>
      </w:r>
    </w:p>
    <w:p>
      <w:pPr>
        <w:spacing w:after="0" w:line="14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regularly scheduled interest and principal payments as and when due in respect of any Indebtedness permitted under Section 3.08, other than payments in respect of Subordinated Indebtedness prohibited by the subordination provisions thereof;</w:t>
      </w:r>
    </w:p>
    <w:p>
      <w:pPr>
        <w:spacing w:after="0" w:line="14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refinancings of Indebtedness to the extent permitted by </w:t>
      </w:r>
      <w:r>
        <w:rPr>
          <w:rFonts w:ascii="Times New Roman" w:cs="Times New Roman" w:eastAsia="Times New Roman" w:hAnsi="Times New Roman"/>
          <w:sz w:val="17"/>
          <w:szCs w:val="17"/>
          <w:b w:val="1"/>
          <w:bCs w:val="1"/>
          <w:color w:val="auto"/>
        </w:rPr>
        <w:t>Section 3.08(F)</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secured Indebtedness that becomes due as a result of the voluntary sale or transfer of the property or assets securing such Indebtedness to the extent such sale or transfer is permitted by the terms of Section 3.12;</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88" w:lineRule="auto"/>
        <w:tabs>
          <w:tab w:leader="none" w:pos="189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with respect to Subordinated Indebtedness, and so long as no Event of Default has occurred and is continuing or would result therefrom, payments made with Qualified Equity Proceeds received by Company substantially contemporaneously with the making of such payment; and</w:t>
      </w:r>
    </w:p>
    <w:p>
      <w:pPr>
        <w:spacing w:after="0" w:line="368" w:lineRule="exact"/>
        <w:rPr>
          <w:rFonts w:ascii="Times New Roman" w:cs="Times New Roman" w:eastAsia="Times New Roman" w:hAnsi="Times New Roman"/>
          <w:sz w:val="17"/>
          <w:szCs w:val="17"/>
          <w:color w:val="auto"/>
        </w:rPr>
      </w:pPr>
    </w:p>
    <w:p>
      <w:pPr>
        <w:jc w:val="both"/>
        <w:ind w:left="640" w:firstLine="621"/>
        <w:spacing w:after="0" w:line="263" w:lineRule="auto"/>
        <w:tabs>
          <w:tab w:leader="none" w:pos="189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may make payments or other distributions (whether in cash, securities or other property) of or in respect of principal of or interest on any Indebtedness, or any payments or other distributions (whether in cash, securities or other property), including any sinking fund or similar deposit, on account of the purchase, redemption, retirement, acquisition, cancellation or termination of any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(x) no Event of Default exists or would result therefrom, and (y) the aggregate amount of such payments or other distributions shall not exceed (together with outstanding investments permitted under clause (ii) of the proviso to Section 3.11(C), outstanding intercompany loans permitted under clause (ii) of the proviso to Section 3.11(D), outstanding principal amount of Indebtedness subject to Guarantees permitted under the proviso to Section 3.11(E), Investments permitted under Section 3.11(P) and Restricted Payments permitted under Section 3.15(A)(vi)) $10,000,000 in the aggregate.</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Notwithstanding the foregoing, in no event shall the Company or any Subsidiary (i) make any payment in respect of Subordinated Indebtedness in violation of the subordination terms thereof, (ii) make any Restricted Payments to a Subsidiary that is not a Note Party in the form of any non-cash assets;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(ii) shall not apply to Restricted Payments made by any Subsidiary that is not a Note Party to another Subsidiary that is not a Note Party, or (iii) make any prepayment, redemption, defeasance, purchase, repurchase, discharge or other acquisition or retirement in cash of any outstanding Existing Notes other than any such prepayment, redemption, defeasance, purchase, repurchase, discharge or other acquisition or retirement in cash (A) prior to September 1, 2026 at a price no greater than 95% or (B) on or after September 1, 2026;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each case of (A) and (B) both immediately before and immediately after giving effect to such prepayment, redemption, defeasance, purchase, repurchase, discharge or other acquisition or retirement, no Event of Default then exists or would result therefrom.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7" w:name="page88"/>
    <w:bookmarkEnd w:id="87"/>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3.16.</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ransactions with</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ffiliates</w:t>
      </w:r>
    </w:p>
    <w:p>
      <w:pPr>
        <w:spacing w:after="0" w:line="225" w:lineRule="exact"/>
        <w:rPr>
          <w:sz w:val="20"/>
          <w:szCs w:val="20"/>
          <w:color w:val="auto"/>
        </w:rPr>
      </w:pPr>
    </w:p>
    <w:p>
      <w:pPr>
        <w:ind w:firstLine="628"/>
        <w:spacing w:after="0" w:line="268" w:lineRule="auto"/>
        <w:rPr>
          <w:sz w:val="20"/>
          <w:szCs w:val="20"/>
          <w:color w:val="auto"/>
        </w:rPr>
      </w:pPr>
      <w:r>
        <w:rPr>
          <w:rFonts w:ascii="Times New Roman" w:cs="Times New Roman" w:eastAsia="Times New Roman" w:hAnsi="Times New Roman"/>
          <w:sz w:val="17"/>
          <w:szCs w:val="17"/>
          <w:color w:val="auto"/>
        </w:rPr>
        <w:t>No Note Party will, nor will it permit any Subsidiary to, sell, lease or otherwise transfer any property or assets to, or purchase, lease or otherwise acquire any property or assets from, or otherwise engage in or suffer to exist any other transactions with, any of its Affiliates on or after the Issue Date, except</w:t>
      </w:r>
    </w:p>
    <w:p>
      <w:pPr>
        <w:jc w:val="both"/>
        <w:ind w:firstLine="5"/>
        <w:spacing w:after="0" w:line="257" w:lineRule="auto"/>
        <w:tabs>
          <w:tab w:leader="none" w:pos="25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that (i) are in the ordinary course of business and (ii) are at prices and on terms and conditions not less favorable to such Note Party or such Subsidiary than could be obtained on an arm’s-length basis from unrelated third parties, (b) transactions between or among the Note Parties only, (c) any investment permitted by Sections 3.11(b), 3.11(c), 3.11(d), 3.11(e), 3.11(i), 3.11(p), 3.11(q) or 3.11(r) or Dispositions permitted by Sections 3.12(e), 3.12(j), 3.12(l) and 3.12(m), (d) (i) any Indebtedness permitted under Sections 3.08(c), 3.08(d), 3.08(g), 3.08(m) and 3.08(p) and (ii) any Liens permitted under Sections</w:t>
      </w:r>
    </w:p>
    <w:p>
      <w:pPr>
        <w:jc w:val="both"/>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3.09(e) and 3.09(h), (e) any Restricted Payment permitted by Section 3.15, (f) loans or advances to employees permitted under Section 3.11(f), (g) the payment of reasonable fees to directors of the Company or any Subsidiary who are not employees of the Company or any Subsidiary, and compensation and employee benefit arrangements paid to, and indemnities provided for the benefit of, directors, officers or employees of the Company or its Subsidiaries in the ordinary course of business, (h) [Reserved], and (i) any issuances of securities or other payments, awards or grants in cash, securities or otherwise, in each case of the Company, pursuant to, or the funding of, customary employment agreements, stock options and stock ownership plans or similar arrangements approved by the Company’s Board of Directors.</w:t>
      </w:r>
    </w:p>
    <w:p>
      <w:pPr>
        <w:spacing w:after="0" w:line="17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3.17.</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estrictive</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0" w:lineRule="auto"/>
        <w:rPr>
          <w:sz w:val="20"/>
          <w:szCs w:val="20"/>
          <w:color w:val="auto"/>
        </w:rPr>
      </w:pPr>
      <w:r>
        <w:rPr>
          <w:rFonts w:ascii="Times New Roman" w:cs="Times New Roman" w:eastAsia="Times New Roman" w:hAnsi="Times New Roman"/>
          <w:sz w:val="17"/>
          <w:szCs w:val="17"/>
          <w:color w:val="auto"/>
        </w:rPr>
        <w:t xml:space="preserve">No Note Party will, nor will it permit any Subsidiary to, directly or indirectly enter into, incur or permit to exist any agreement or other arrangement that prohibits, restricts or imposes any condition upon (a) the ability of such Note Party or any Subsidiary to create, incur or permit to exist any Lien upon any of its property or assets, or (b) the ability of any Subsidiary to pay dividends or other distributions with respect to any equity interests or to make or repay loans or advances to the Company or any other Subsidiary or to Guarantee Indebtedness of the Company or any other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foregoing shall not apply to restrictions and conditions imposed by any requirement of law or by any Note Document, (ii) the foregoing shall not apply to restrictions and conditions existing on the date hereof and identified on </w:t>
      </w:r>
      <w:r>
        <w:rPr>
          <w:rFonts w:ascii="Times New Roman" w:cs="Times New Roman" w:eastAsia="Times New Roman" w:hAnsi="Times New Roman"/>
          <w:sz w:val="17"/>
          <w:szCs w:val="17"/>
          <w:b w:val="1"/>
          <w:bCs w:val="1"/>
          <w:color w:val="auto"/>
        </w:rPr>
        <w:t>Schedule 3.17</w:t>
      </w:r>
      <w:r>
        <w:rPr>
          <w:rFonts w:ascii="Times New Roman" w:cs="Times New Roman" w:eastAsia="Times New Roman" w:hAnsi="Times New Roman"/>
          <w:sz w:val="17"/>
          <w:szCs w:val="17"/>
          <w:color w:val="auto"/>
        </w:rPr>
        <w:t xml:space="preserve"> (but shall apply to any extension or renewal of, or any amendment or modification materially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Indenture if such restrictions or conditions apply only to the property or assets securing such Indebtedness, (v) clause (a) of the foregoing shall not apply to customary provisions in leases, licenses and other contracts, and (vi) the foregoing shall not apply to any restrictions or conditions set forth in any agreement in effect at any time any Person becomes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was not entered into in contemplation of such Person becoming a Subsidiary and the restriction or condition set forth in such agreement does not apply to the Company or any other Subsidiary.</w:t>
      </w:r>
    </w:p>
    <w:p>
      <w:pPr>
        <w:spacing w:after="0" w:line="176"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3.18.</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mendment of</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aterial</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ocuments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On or after the Issue Date, no Note Party will, nor will it permit any Note Party to, amend, modify or waive any of its rights under (a) any agreement relating to any Subordinated Indebtedness, except as may be permitted under the applicable subordination or intercreditor agreement or (b) its charter, articles or certificate of organization or incorporation and bylaws or operating, management or partnership agreement, or other organizational or governing documents, in each case, to the extent any such amendment, modification or waiver would be adverse to the Holders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8" w:name="page89"/>
    <w:bookmarkEnd w:id="88"/>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3.19.</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ash</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anagement</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ystems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1" w:lineRule="auto"/>
        <w:rPr>
          <w:sz w:val="20"/>
          <w:szCs w:val="20"/>
          <w:color w:val="auto"/>
        </w:rPr>
      </w:pPr>
      <w:r>
        <w:rPr>
          <w:rFonts w:ascii="Times New Roman" w:cs="Times New Roman" w:eastAsia="Times New Roman" w:hAnsi="Times New Roman"/>
          <w:sz w:val="17"/>
          <w:szCs w:val="17"/>
          <w:color w:val="auto"/>
        </w:rPr>
        <w:t>On or after the Issue Date, each Note Party shall enter into, and cause each depository, securities intermediary or commodities intermediary to enter into, Control Agreements to the extent that such a Control Agreement is required for a perfected security interest under the applicable law of the relevant jurisdiction, as determined by the Administrative Determination Holders) with respect to each deposit, securities, commodity or similar account maintained by such Person (other than Excluded Accounts) (such deposit, securities, commodity or similar accounts, “</w:t>
      </w:r>
      <w:r>
        <w:rPr>
          <w:rFonts w:ascii="Times New Roman" w:cs="Times New Roman" w:eastAsia="Times New Roman" w:hAnsi="Times New Roman"/>
          <w:sz w:val="17"/>
          <w:szCs w:val="17"/>
          <w:b w:val="1"/>
          <w:bCs w:val="1"/>
          <w:color w:val="auto"/>
        </w:rPr>
        <w:t>Controlled Accounts</w:t>
      </w:r>
      <w:r>
        <w:rPr>
          <w:rFonts w:ascii="Times New Roman" w:cs="Times New Roman" w:eastAsia="Times New Roman" w:hAnsi="Times New Roman"/>
          <w:sz w:val="17"/>
          <w:szCs w:val="17"/>
          <w:color w:val="auto"/>
        </w:rPr>
        <w:t xml:space="preserve">”) as of and after the Issue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Note Parties shall have until the date that is sixty (60) days following the Issue Date (or such later period as reasonably agreed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Required Holders and communicated to the Trustee, the Collateral Agent and the Company in writing, which may be by email) (such date, the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 Completion Date</w:t>
      </w:r>
      <w:r>
        <w:rPr>
          <w:rFonts w:ascii="Times New Roman" w:cs="Times New Roman" w:eastAsia="Times New Roman" w:hAnsi="Times New Roman"/>
          <w:sz w:val="17"/>
          <w:szCs w:val="17"/>
          <w:color w:val="auto"/>
        </w:rPr>
        <w:t>”), the closing date of any Permitted Acquisition or the opening of any new account, as applicable (or such later period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reasonably agreed by the Required Holders and communicated to the Trustee, the Collateral Agent and the Company in writing, which may be by email) to comply with the provisions of this </w:t>
      </w:r>
      <w:r>
        <w:rPr>
          <w:rFonts w:ascii="Times New Roman" w:cs="Times New Roman" w:eastAsia="Times New Roman" w:hAnsi="Times New Roman"/>
          <w:sz w:val="17"/>
          <w:szCs w:val="17"/>
          <w:b w:val="1"/>
          <w:bCs w:val="1"/>
          <w:color w:val="auto"/>
        </w:rPr>
        <w:t>Section 3.19</w:t>
      </w:r>
      <w:r>
        <w:rPr>
          <w:rFonts w:ascii="Times New Roman" w:cs="Times New Roman" w:eastAsia="Times New Roman" w:hAnsi="Times New Roman"/>
          <w:sz w:val="17"/>
          <w:szCs w:val="17"/>
          <w:color w:val="auto"/>
        </w:rPr>
        <w:t xml:space="preserve"> with regard to such accounts (other than Excluded Accounts) of the Note Parties.</w:t>
      </w:r>
    </w:p>
    <w:p>
      <w:pPr>
        <w:spacing w:after="0" w:line="178"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3.20.</w:t>
      </w:r>
      <w:r>
        <w:rPr>
          <w:sz w:val="20"/>
          <w:szCs w:val="20"/>
          <w:color w:val="auto"/>
        </w:rPr>
        <w:tab/>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aterial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ssets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4" w:lineRule="auto"/>
        <w:rPr>
          <w:sz w:val="20"/>
          <w:szCs w:val="20"/>
          <w:color w:val="auto"/>
        </w:rPr>
      </w:pPr>
      <w:r>
        <w:rPr>
          <w:rFonts w:ascii="Times New Roman" w:cs="Times New Roman" w:eastAsia="Times New Roman" w:hAnsi="Times New Roman"/>
          <w:sz w:val="17"/>
          <w:szCs w:val="17"/>
          <w:color w:val="auto"/>
        </w:rPr>
        <w:t>After the Issue Date, notwithstanding anything herein or in any Note Documents to the contrary, following the Issue Date, (i) each of the Company and the Note Parties shall not, and shall not permit any respective Subsidiaries to, directly or indirectly sell, license, sublicense, covenant not to sue, convey, Dispose, distribute, make a Restricted Payment of, invest or otherwise transfer any Material Intellectual Property or any other Material Asset to any Subsidiary or Affiliate thereof that is not a Note Party other than in the case of Intellectual Property, pursuant to a non-exclusive license entered in the ordinary course of business on customary terms that would not interfere in any material respect with the ordinary conduct of business of the Company or any Subsidiary and (ii) no Subsidiary that is not a Note Party shall own, hold or have any rights to any Material Intellectual Property or any other Material Asset.</w:t>
      </w:r>
    </w:p>
    <w:p>
      <w:pPr>
        <w:spacing w:after="0" w:line="17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3.21.</w:t>
      </w:r>
      <w:r>
        <w:rPr>
          <w:sz w:val="20"/>
          <w:szCs w:val="20"/>
          <w:color w:val="auto"/>
        </w:rPr>
        <w:tab/>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ortgages</w:t>
      </w:r>
      <w:r>
        <w:rPr>
          <w:rFonts w:ascii="Times New Roman" w:cs="Times New Roman" w:eastAsia="Times New Roman" w:hAnsi="Times New Roman"/>
          <w:sz w:val="17"/>
          <w:szCs w:val="17"/>
          <w:i w:val="1"/>
          <w:iCs w:val="1"/>
          <w:color w:val="auto"/>
        </w:rPr>
        <w:t>.</w:t>
      </w:r>
    </w:p>
    <w:p>
      <w:pPr>
        <w:spacing w:after="0" w:line="225" w:lineRule="exact"/>
        <w:rPr>
          <w:sz w:val="20"/>
          <w:szCs w:val="20"/>
          <w:color w:val="auto"/>
        </w:rPr>
      </w:pPr>
    </w:p>
    <w:p>
      <w:pPr>
        <w:jc w:val="both"/>
        <w:ind w:firstLine="628"/>
        <w:spacing w:after="0" w:line="261" w:lineRule="auto"/>
        <w:rPr>
          <w:sz w:val="20"/>
          <w:szCs w:val="20"/>
          <w:color w:val="auto"/>
        </w:rPr>
      </w:pPr>
      <w:r>
        <w:rPr>
          <w:rFonts w:ascii="Times New Roman" w:cs="Times New Roman" w:eastAsia="Times New Roman" w:hAnsi="Times New Roman"/>
          <w:sz w:val="17"/>
          <w:szCs w:val="17"/>
          <w:color w:val="auto"/>
        </w:rPr>
        <w:t>Within 120 days after the acquisition of any Material Real Property after the Issue Date (or such later date as may be reasonably necessary despite the Company or applicable Guarantor’s use of commercially reasonable efforts), the Company or the applicable Guarantor shall (i) deliver to the Collateral Agent (for the benefit of the Secured Parties) an executed Mortgage on, such Material Real Property to secure the Secured Obligations (as defined in the Security Agreement) in a form reasonably acceptable to the Company and sufficient to effect such security interest, which security interest and mortgage shall constitute valid and enforceable Liens subject only to Permitted Encumbrances, (ii) deliver for recording or filing, with all required documentation, such Mortgage or instruments related thereto in such manner and in such places as is sufficient to establish, perfect, preserve and protect the Liens subject only to Permitted Encumbrances in favor of the Collateral Agent (for the benefit of the Secured Parties) required to be granted pursuant to the Mortgages and pay in full, all taxes, fees and other charges required to be paid in connection with such recording or filing and (iii) deliver an opinion of counsel to the Company or such applicable Guarantor as to the enforceability of such Mortgage as are customarily covered thereby in the applicable jurisdiction where such Material Real Property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9" w:name="page90"/>
    <w:bookmarkEnd w:id="89"/>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3.22.</w:t>
      </w:r>
      <w:r>
        <w:rPr>
          <w:sz w:val="20"/>
          <w:szCs w:val="20"/>
          <w:color w:val="auto"/>
        </w:rPr>
        <w:tab/>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urther</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ssurances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633"/>
        <w:spacing w:after="0" w:line="270" w:lineRule="auto"/>
        <w:tabs>
          <w:tab w:leader="none" w:pos="12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the reasonable request of the Required Holders, the Collateral Agent or the Trustee, the Note Parties shall (and, subject to the limitations set forth herein and in the other Note Documents, shall cause each of their Subsidiaries (other than Excluded Subsidiaries) to) take such additional actions and execute such instruments, documents, certificates and financing and continuation statements as the Required Holders may reasonably require from time to time in order to effectuate the purposes and objectives of this Indenture and the applicable Note Documents.</w:t>
      </w:r>
    </w:p>
    <w:p>
      <w:pPr>
        <w:spacing w:after="0" w:line="167" w:lineRule="exact"/>
        <w:rPr>
          <w:rFonts w:ascii="Times New Roman" w:cs="Times New Roman" w:eastAsia="Times New Roman" w:hAnsi="Times New Roman"/>
          <w:sz w:val="17"/>
          <w:szCs w:val="17"/>
          <w:color w:val="auto"/>
        </w:rPr>
      </w:pPr>
    </w:p>
    <w:p>
      <w:pPr>
        <w:jc w:val="both"/>
        <w:ind w:left="-20" w:firstLine="633"/>
        <w:spacing w:after="0" w:line="258" w:lineRule="auto"/>
        <w:tabs>
          <w:tab w:leader="none" w:pos="12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the foregoing, the Note Parties shall cause each of their Subsidiaries (other than Excluded Subsidiaries) as of the date hereof, or within forty-five (45) days (or in the case of any Material Foreign Subsidiary within seventy-five (75) Business Days (inclusive of business days of the applicable country) or such later date as agreed by the Required Holders in their reasonable discretion) after the date of the formation, acquisition thereof or becoming a Subsidiary that is not an Excluded Subsidiary, to guaranty the Notes and to cause each such Subsidiary to grant to the Collateral Agent, for the benefit of the Secured Parties, a security interest in, subject to the limitations set forth herein and in the Note Documents, all of such Subsidiary’s Collateral to secure such guaranty and to take such other actions reasonably requested by the Requested Holders with respect to making any such Subsidiary a Note Party under the Note Documents, and, with respect to any Subsidiary (other than an Excluded Subsidiary) formed, acquired or no longer being an Excluded Subsidiary after the Issue Date, within forty-five (45) days (or in the case of any Material Foreign Subsidiary within seventy-five (75) Business Days (inclusive of business days of the applicable country) or such later date as agreed by the Required Holders in their reasonable discretion) after the date of the formation, acquisition thereof or no longer being an Excluded Subsidiary, cause such Subsidiary to enter into a supplemental indenture in the form of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 xml:space="preserve"> and otherwise in accordance with </w:t>
      </w:r>
      <w:r>
        <w:rPr>
          <w:rFonts w:ascii="Times New Roman" w:cs="Times New Roman" w:eastAsia="Times New Roman" w:hAnsi="Times New Roman"/>
          <w:sz w:val="17"/>
          <w:szCs w:val="17"/>
          <w:b w:val="1"/>
          <w:bCs w:val="1"/>
          <w:color w:val="auto"/>
        </w:rPr>
        <w:t>Article 11</w:t>
      </w:r>
      <w:r>
        <w:rPr>
          <w:rFonts w:ascii="Times New Roman" w:cs="Times New Roman" w:eastAsia="Times New Roman" w:hAnsi="Times New Roman"/>
          <w:sz w:val="17"/>
          <w:szCs w:val="17"/>
          <w:color w:val="auto"/>
        </w:rPr>
        <w:t xml:space="preserve">. The Note Parties shall deliver, or cause to be delivered, promptly after (and in any event within forty-five (45) days (or in the case of any Material Foreign Subsidiary within seventy-five (75) Business Days (inclusive of business days of the applicable country) or such later date as may be agreed to by the Required Holders in their reasonable discretion) after) such date, with respect to such newly formed or acquired Subsidiary (that is not an Excluded Subsidiary), to the Collateral Agent (i) appropriate resolutions, secretary certificates, certified Organizational Documents, (ii) if requested by any Holder or beneficial owner, legal opinions relating to the matters described in this </w:t>
      </w:r>
      <w:r>
        <w:rPr>
          <w:rFonts w:ascii="Times New Roman" w:cs="Times New Roman" w:eastAsia="Times New Roman" w:hAnsi="Times New Roman"/>
          <w:sz w:val="17"/>
          <w:szCs w:val="17"/>
          <w:b w:val="1"/>
          <w:bCs w:val="1"/>
          <w:color w:val="auto"/>
        </w:rPr>
        <w:t>Section 3.22</w:t>
      </w:r>
      <w:r>
        <w:rPr>
          <w:rFonts w:ascii="Times New Roman" w:cs="Times New Roman" w:eastAsia="Times New Roman" w:hAnsi="Times New Roman"/>
          <w:sz w:val="17"/>
          <w:szCs w:val="17"/>
          <w:color w:val="auto"/>
        </w:rPr>
        <w:t xml:space="preserve"> (which opinions shall be in form and substance reasonably acceptable to the Required Holders and, to the extent applicable, substantially similar to the opinions delivered on the Issue Date), (iii) joinder agreements with respect to the Security Agreement and, as reasonably requested by Collateral Agent or the Required Holders, all other Collateral Documents and other documents reasonably requested to establish the Lien of the Collateral Agent in all Collateral of such Subsidiary, and (iv) Uniform Commercial Code financing statements, documents and original collateral (including pledged securities and instruments) and such other documents and agreements, including short-form intellectual property security agreements, as may be reasonably required by the Collateral Agent or any Holder or beneficial owner, all as necessary or desirable to establish and maintain a valid, perfected Lien in all Collateral in which such Subsidiary has an interest consistent with the terms of the Note Documents, in each instance with respect to (1) each Note Party or Subsidiary formed or acquired or becoming a Subsidiary that is not an Excluded Subsidiary and (2) each Note Party or Person (other than a Note Party) whose equity interests are being pledged, in each case of clauses (1) and (2), after the Issue Date. In connection with each pledge of equity interests and subject to the terms of the Collateral Documents, within five (5) Business Days after the date of any such pledge of equity interests, the Note Parties shall deliver, or cause to be delivered, to the Collateral Agent, irrevocable proxies and stock powers and/or assignments, as applicable, duly executed in blank, in each case, in form and substance reasonably satisfactory to the Required Holders.</w:t>
      </w:r>
    </w:p>
    <w:p>
      <w:pPr>
        <w:spacing w:after="0" w:line="188" w:lineRule="exact"/>
        <w:rPr>
          <w:rFonts w:ascii="Times New Roman" w:cs="Times New Roman" w:eastAsia="Times New Roman" w:hAnsi="Times New Roman"/>
          <w:sz w:val="17"/>
          <w:szCs w:val="17"/>
          <w:color w:val="auto"/>
        </w:rPr>
      </w:pPr>
    </w:p>
    <w:p>
      <w:pPr>
        <w:jc w:val="both"/>
        <w:ind w:left="-20" w:firstLine="633"/>
        <w:spacing w:after="0" w:line="270" w:lineRule="auto"/>
        <w:tabs>
          <w:tab w:leader="none" w:pos="12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so long as no Event of Default has occurred and is continuing, the Company may request in writing to the Collateral Agent that the Required Holders waive the requirements of this </w:t>
      </w:r>
      <w:r>
        <w:rPr>
          <w:rFonts w:ascii="Times New Roman" w:cs="Times New Roman" w:eastAsia="Times New Roman" w:hAnsi="Times New Roman"/>
          <w:sz w:val="17"/>
          <w:szCs w:val="17"/>
          <w:b w:val="1"/>
          <w:bCs w:val="1"/>
          <w:color w:val="auto"/>
        </w:rPr>
        <w:t>Section 3.22</w:t>
      </w:r>
      <w:r>
        <w:rPr>
          <w:rFonts w:ascii="Times New Roman" w:cs="Times New Roman" w:eastAsia="Times New Roman" w:hAnsi="Times New Roman"/>
          <w:sz w:val="17"/>
          <w:szCs w:val="17"/>
          <w:color w:val="auto"/>
        </w:rPr>
        <w:t xml:space="preserve"> to provide a Lien, security interest or guaranty, as the case may be, due to the cost or burden thereof to the Company and its Subsidiaries (when taken as a whole) being unreasonably excessive relative to the benefit that would inure to the Secured Parties, and describing such cost or burden in reasonable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90" w:name="page91"/>
    <w:bookmarkEnd w:id="90"/>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3.23.</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eserved</w:t>
      </w:r>
      <w:r>
        <w:rPr>
          <w:rFonts w:ascii="Times New Roman" w:cs="Times New Roman" w:eastAsia="Times New Roman" w:hAnsi="Times New Roman"/>
          <w:sz w:val="17"/>
          <w:szCs w:val="17"/>
          <w:b w:val="1"/>
          <w:bCs w:val="1"/>
          <w:color w:val="auto"/>
        </w:rPr>
        <w:t>].</w:t>
      </w:r>
    </w:p>
    <w:p>
      <w:pPr>
        <w:spacing w:after="0" w:line="24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3.24.</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iability</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anagement</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4" w:lineRule="auto"/>
        <w:rPr>
          <w:sz w:val="20"/>
          <w:szCs w:val="20"/>
          <w:color w:val="auto"/>
        </w:rPr>
      </w:pPr>
      <w:r>
        <w:rPr>
          <w:rFonts w:ascii="Times New Roman" w:cs="Times New Roman" w:eastAsia="Times New Roman" w:hAnsi="Times New Roman"/>
          <w:sz w:val="17"/>
          <w:szCs w:val="17"/>
          <w:color w:val="auto"/>
        </w:rPr>
        <w:t>Neither the Company nor any of its respective Subsidiaries shall, directly or indirectly, (i) create, incur, assume or otherwise become or remain liable with respect to any Indebtedness or issue any Capital Stock, (ii) create, incur, assume or permit or suffer to exist any Lien on or with respect to any property of any kind owned by it, whether now owned or hereafter acquired, or any income or profits therefrom, (iii) make or own any Investment in any other Person, (iv) enter into any transaction of merger, consolidation or amalgamation, or liquidate, wind up or dissolve themselves (or suffer any liquidation or dissolution) or (v) convey, sell, lease or otherwise dispose of all or any part of its property or assets or to otherwise engage in any other activity, in each case, that is undertaken in connection with a Liability Management Transaction.</w:t>
      </w:r>
    </w:p>
    <w:p>
      <w:pPr>
        <w:spacing w:after="0" w:line="17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3.25.</w:t>
      </w:r>
      <w:r>
        <w:rPr>
          <w:sz w:val="20"/>
          <w:szCs w:val="20"/>
          <w:color w:val="auto"/>
        </w:rPr>
        <w:tab/>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1"/>
          <w:szCs w:val="11"/>
          <w:b w:val="1"/>
          <w:bCs w:val="1"/>
          <w:color w:val="auto"/>
        </w:rPr>
        <w:t>oint</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enture</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No Note Party shall be engaged in any Joint Venture or Partnership with any other Person or an Affiliate of any other Person, unless (i) the Note Parties shall pledge their equity interests in the Joint Venture or Partnership to the Collateral Agent for the benefit of the Holders, and to the extent applicable, deliver the pledged equity interests in accordance with Section 3.22(B) and (ii) if the Note Parties collectively hold 50% or less of the equity interests in the Joint Venture or Partnership, such Joint Venture or Partnership shall not engage in any financing transactions.</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3.26.</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xistence</w:t>
      </w:r>
      <w:r>
        <w:rPr>
          <w:rFonts w:ascii="Times New Roman" w:cs="Times New Roman" w:eastAsia="Times New Roman" w:hAnsi="Times New Roman"/>
          <w:sz w:val="17"/>
          <w:szCs w:val="17"/>
          <w:b w:val="1"/>
          <w:bCs w:val="1"/>
          <w:color w:val="auto"/>
        </w:rPr>
        <w:t>; C</w:t>
      </w:r>
      <w:r>
        <w:rPr>
          <w:rFonts w:ascii="Times New Roman" w:cs="Times New Roman" w:eastAsia="Times New Roman" w:hAnsi="Times New Roman"/>
          <w:sz w:val="11"/>
          <w:szCs w:val="11"/>
          <w:b w:val="1"/>
          <w:bCs w:val="1"/>
          <w:color w:val="auto"/>
        </w:rPr>
        <w:t>onduct of</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usiness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61" w:lineRule="auto"/>
        <w:rPr>
          <w:sz w:val="20"/>
          <w:szCs w:val="20"/>
          <w:color w:val="auto"/>
        </w:rPr>
      </w:pPr>
      <w:r>
        <w:rPr>
          <w:rFonts w:ascii="Times New Roman" w:cs="Times New Roman" w:eastAsia="Times New Roman" w:hAnsi="Times New Roman"/>
          <w:sz w:val="17"/>
          <w:szCs w:val="17"/>
          <w:color w:val="auto"/>
        </w:rPr>
        <w:t xml:space="preserve">Each Note Party shall, and shall cause each Subsidiary to, (a) do or cause to be done all things reasonably necessary to preserve, renew and keep in full force and effect its legal existence and the rights, qualifications, licenses, permits, privileges, franchises, governmental authorizations, rights in or to Intellectual Property material to the conduct of its business (in each case subject to any exceptions expressly permitted by this Indenture), licenses and permits material to the conduct of its business, (b) maintain all requisite authority to conduct its business in each jurisdiction in which its business is conducted, except, in each case, where the failure to do so would not reasonably be expected to have a Material Adverse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prohibit any merger, consolidation, liquidation or dissolution permitted under </w:t>
      </w:r>
      <w:r>
        <w:rPr>
          <w:rFonts w:ascii="Times New Roman" w:cs="Times New Roman" w:eastAsia="Times New Roman" w:hAnsi="Times New Roman"/>
          <w:sz w:val="17"/>
          <w:szCs w:val="17"/>
          <w:b w:val="1"/>
          <w:bCs w:val="1"/>
          <w:color w:val="auto"/>
        </w:rPr>
        <w:t>Section 3.11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 3.12</w:t>
      </w:r>
      <w:r>
        <w:rPr>
          <w:rFonts w:ascii="Times New Roman" w:cs="Times New Roman" w:eastAsia="Times New Roman" w:hAnsi="Times New Roman"/>
          <w:sz w:val="17"/>
          <w:szCs w:val="17"/>
          <w:color w:val="auto"/>
        </w:rPr>
        <w:t xml:space="preserve"> and (c) carry on and conduct its business in substantially the same manner and in substantially the same fields of enterprise as it is presently conducted or as are reasonably related, incidental, ancillary or complementary to or a natural extension of the same. Each Note Party shall not, and shall cause each Subsidiary to not, enter into any covenant not to sue or agree to any similar restriction that burdens or otherwise restricts such Note Party or Subsidiary’s rights to use, exploit or recover damages from any Material Intellectual Property, except for any such covenant not to sue or similar restriction that would not interfere in any material respect with the ordinary conduct of business of the Company or any Subsidiary.</w:t>
      </w:r>
    </w:p>
    <w:p>
      <w:pPr>
        <w:spacing w:after="0" w:line="38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3.27.</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ompliance with</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Except in each case as would not reasonably be expected to have a Material Adverse Effect, each Note Party shall, and shall cause each Subsidiary to, comply with each requirement of law applicable to it or its property (including without limitation environmental laws).</w:t>
      </w:r>
    </w:p>
    <w:p>
      <w:pPr>
        <w:spacing w:after="0" w:line="17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3.28.</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uthorizations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The Note Parties shall, and shall cause their Subsidiaries to, obtain, make and keep in full force and effect all authorizations required to conduct their businesses, except where the failure to make and keep authorizations in full force and effect would not reasonably be expected, individually or in the aggregate,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91" w:name="page92"/>
    <w:bookmarkEnd w:id="91"/>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3.29.</w:t>
      </w:r>
      <w:r>
        <w:rPr>
          <w:sz w:val="20"/>
          <w:szCs w:val="20"/>
          <w:color w:val="auto"/>
        </w:rPr>
        <w:tab/>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aintenance of</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1" w:lineRule="auto"/>
        <w:rPr>
          <w:sz w:val="20"/>
          <w:szCs w:val="20"/>
          <w:color w:val="auto"/>
        </w:rPr>
      </w:pPr>
      <w:r>
        <w:rPr>
          <w:rFonts w:ascii="Times New Roman" w:cs="Times New Roman" w:eastAsia="Times New Roman" w:hAnsi="Times New Roman"/>
          <w:sz w:val="17"/>
          <w:szCs w:val="17"/>
          <w:color w:val="auto"/>
        </w:rPr>
        <w:t>Each Note Party will, and will cause each Subsidiary to, keep and maintain all property material to the conduct of its business in good working order and condition, ordinary wear and tear excepted. Each Note Party will, and will cause each Subsidiary to (a) maintain in full force and effect, pay all costs and expenses related to, and renew, file for, prosecute and enforce all Material Intellectual Property, and all other Intellectual Property owned, used or controlled by such Note Party or any such Subsidiary that are necessary or useful in the conduct of its business, except where the failure to do so, individually or in the aggregate, would not reasonably be expected to result in a Material Adverse Effect, (b) promptly after obtaining knowledge thereof, notify the Collateral Agent of any infringement, misappropriation or other violation by any Person of any Material Intellectual Property where such infringement, misappropriation, or other violation would reasonably be expected to be material to the Company or any of its Subsidiaries, and use commercially reasonable efforts to stop, curtail or abate such infringement, misappropriation or other violation, and (c) promptly after obtaining knowledge thereof, notify the Collateral Agent of any claim by any Person that the conduct of the business of the Company or any of its Subsidiaries has infringed, misappropriated or otherwise violated any Intellectual Property of such Person, where such claim would reasonably be expected to have a Material Adverse Effect.</w:t>
      </w:r>
    </w:p>
    <w:p>
      <w:pPr>
        <w:spacing w:after="0" w:line="20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3.30.</w:t>
      </w:r>
      <w:r>
        <w:rPr>
          <w:sz w:val="20"/>
          <w:szCs w:val="20"/>
          <w:color w:val="auto"/>
        </w:rPr>
        <w:tab/>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4" w:lineRule="auto"/>
        <w:rPr>
          <w:sz w:val="20"/>
          <w:szCs w:val="20"/>
          <w:color w:val="auto"/>
        </w:rPr>
      </w:pPr>
      <w:r>
        <w:rPr>
          <w:rFonts w:ascii="Times New Roman" w:cs="Times New Roman" w:eastAsia="Times New Roman" w:hAnsi="Times New Roman"/>
          <w:sz w:val="17"/>
          <w:szCs w:val="17"/>
          <w:color w:val="auto"/>
        </w:rPr>
        <w:t>Each Note Party shall, and shall cause each Subsidiary to,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Company will furnish to the Holders, upon the reasonable written request of the Trustee (acting as directed by the Required Holders), but no less frequently than annually, information in reasonable detail as to the insurance so maintained.</w:t>
      </w:r>
    </w:p>
    <w:p>
      <w:pPr>
        <w:spacing w:after="0" w:line="19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3.31.</w:t>
      </w:r>
      <w:r>
        <w:rPr>
          <w:sz w:val="20"/>
          <w:szCs w:val="20"/>
          <w:color w:val="auto"/>
        </w:rPr>
        <w:tab/>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ayment of</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 xml:space="preserve">Each Note Party shall, pay all material taxes imposed upon it or any of its properties or assets or in respect of any of its income, businesses or franchises before any penalty accrues thereon (taking into account any valid extensions thereon); </w:t>
      </w:r>
      <w:r>
        <w:rPr>
          <w:rFonts w:ascii="Times New Roman" w:cs="Times New Roman" w:eastAsia="Times New Roman" w:hAnsi="Times New Roman"/>
          <w:sz w:val="17"/>
          <w:szCs w:val="17"/>
          <w:u w:val="single" w:color="auto"/>
          <w:color w:val="auto"/>
        </w:rPr>
        <w:t>unless</w:t>
      </w:r>
      <w:r>
        <w:rPr>
          <w:rFonts w:ascii="Times New Roman" w:cs="Times New Roman" w:eastAsia="Times New Roman" w:hAnsi="Times New Roman"/>
          <w:sz w:val="17"/>
          <w:szCs w:val="17"/>
          <w:color w:val="auto"/>
        </w:rPr>
        <w:t xml:space="preserve"> such tax or claim is being contested in good faith by appropriate proceedings and such Note Party has set aside on its books adequate reserves with respect thereto in accordance with GAAP.</w:t>
      </w:r>
    </w:p>
    <w:p>
      <w:pPr>
        <w:spacing w:after="0" w:line="18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3.32.</w:t>
      </w:r>
      <w:r>
        <w:rPr>
          <w:sz w:val="20"/>
          <w:szCs w:val="20"/>
          <w:color w:val="auto"/>
        </w:rPr>
        <w:tab/>
      </w:r>
      <w:r>
        <w:rPr>
          <w:rFonts w:ascii="Times New Roman" w:cs="Times New Roman" w:eastAsia="Times New Roman" w:hAnsi="Times New Roman"/>
          <w:sz w:val="17"/>
          <w:szCs w:val="17"/>
          <w:b w:val="1"/>
          <w:bCs w:val="1"/>
          <w:color w:val="auto"/>
        </w:rPr>
        <w:t>DTC M</w:t>
      </w:r>
      <w:r>
        <w:rPr>
          <w:rFonts w:ascii="Times New Roman" w:cs="Times New Roman" w:eastAsia="Times New Roman" w:hAnsi="Times New Roman"/>
          <w:sz w:val="11"/>
          <w:szCs w:val="11"/>
          <w:b w:val="1"/>
          <w:bCs w:val="1"/>
          <w:color w:val="auto"/>
        </w:rPr>
        <w:t>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At all times during the term of the Notes, (a) the Common Stock shall be eligible for clearing through DTC, through its Deposit/Withdrawal At Custodian (DWAC) system; (b) the Company shall be eligible and participating in the Direct Registration System (DRS) of DTC with respect to the Common Stock; (c) the transfer agent for the Common Stock shall be a participant in, and the Common Stock shall be eligible for transfer pursuant to, DTC’s Fast Automated Securities Transfer Program (or successor thereto); and (d) the Company shall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the Company shall use its reasonable best efforts to cause any such “chill,” “freeze” or similar restriction to be removed at the earliest possible time.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92" w:name="page93"/>
    <w:bookmarkEnd w:id="92"/>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3.33.</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ccounting and</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iscal</w:t>
      </w:r>
      <w:r>
        <w:rPr>
          <w:rFonts w:ascii="Times New Roman" w:cs="Times New Roman" w:eastAsia="Times New Roman" w:hAnsi="Times New Roman"/>
          <w:sz w:val="17"/>
          <w:szCs w:val="17"/>
          <w:b w:val="1"/>
          <w:bCs w:val="1"/>
          <w:color w:val="auto"/>
        </w:rPr>
        <w:t xml:space="preserve"> Y</w:t>
      </w:r>
      <w:r>
        <w:rPr>
          <w:rFonts w:ascii="Times New Roman" w:cs="Times New Roman" w:eastAsia="Times New Roman" w:hAnsi="Times New Roman"/>
          <w:sz w:val="11"/>
          <w:szCs w:val="11"/>
          <w:b w:val="1"/>
          <w:bCs w:val="1"/>
          <w:color w:val="auto"/>
        </w:rPr>
        <w:t>ear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The Company shall not, and shall not suffer or permit any Note Party to, (a) make any significant change in accounting treatment or reporting practices, except as required by or permitted by GAAP or (b) change the fiscal year of the Company or of any Note Party, except to change the fiscal year of a Subsidiary acquired in connection with any Permitted Acquisition to conform its fiscal year to that of the Company.</w:t>
      </w:r>
    </w:p>
    <w:p>
      <w:pPr>
        <w:spacing w:after="0" w:line="18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3.34.</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nti</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orruption</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aws</w:t>
      </w:r>
      <w:r>
        <w:rPr>
          <w:rFonts w:ascii="Times New Roman" w:cs="Times New Roman" w:eastAsia="Times New Roman" w:hAnsi="Times New Roman"/>
          <w:sz w:val="17"/>
          <w:szCs w:val="17"/>
          <w:b w:val="1"/>
          <w:bCs w:val="1"/>
          <w:color w:val="auto"/>
        </w:rPr>
        <w:t>; S</w:t>
      </w:r>
      <w:r>
        <w:rPr>
          <w:rFonts w:ascii="Times New Roman" w:cs="Times New Roman" w:eastAsia="Times New Roman" w:hAnsi="Times New Roman"/>
          <w:sz w:val="11"/>
          <w:szCs w:val="11"/>
          <w:b w:val="1"/>
          <w:bCs w:val="1"/>
          <w:color w:val="auto"/>
        </w:rPr>
        <w:t>anctions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Each Note Party shall maintain in effect policies and procedures designed to achieve compliance by such Note Party, its Subsidiaries and their respective directors, officers, employees and agents with Anti-Corruption Laws and applicable Sanctions. No Note Party shall, and no Note Party shall permit any of its Subsidiaries to, directly or knowingly indirectly, fail to comply with Anti-Corruption Laws and applicable Sanctions. The Company shall not use, and shall procure that its Subsidiaries and its or their respective directors, officers, employees and agents shall not use, the proceeds of any Notes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Person in violation of applicable Sanctions, and/or (iii) in any manner that would reasonably be expected to result in the violation of any Sanctions applicable to any party hereto.</w:t>
      </w:r>
    </w:p>
    <w:p>
      <w:pPr>
        <w:spacing w:after="0" w:line="19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3.35.</w:t>
      </w:r>
      <w:r>
        <w:rPr>
          <w:sz w:val="20"/>
          <w:szCs w:val="20"/>
          <w:color w:val="auto"/>
        </w:rPr>
        <w:tab/>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aterial</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ublic</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nformation</w:t>
      </w:r>
      <w:r>
        <w:rPr>
          <w:rFonts w:ascii="Times New Roman" w:cs="Times New Roman" w:eastAsia="Times New Roman" w:hAnsi="Times New Roman"/>
          <w:sz w:val="17"/>
          <w:szCs w:val="17"/>
          <w:i w:val="1"/>
          <w:iCs w:val="1"/>
          <w:color w:val="auto"/>
        </w:rPr>
        <w:t>.</w:t>
      </w:r>
    </w:p>
    <w:p>
      <w:pPr>
        <w:spacing w:after="0" w:line="225" w:lineRule="exact"/>
        <w:rPr>
          <w:sz w:val="20"/>
          <w:szCs w:val="20"/>
          <w:color w:val="auto"/>
        </w:rPr>
      </w:pPr>
    </w:p>
    <w:p>
      <w:pPr>
        <w:jc w:val="both"/>
        <w:ind w:firstLine="628"/>
        <w:spacing w:after="0" w:line="261" w:lineRule="auto"/>
        <w:rPr>
          <w:sz w:val="20"/>
          <w:szCs w:val="20"/>
          <w:color w:val="auto"/>
        </w:rPr>
      </w:pPr>
      <w:r>
        <w:rPr>
          <w:rFonts w:ascii="Times New Roman" w:cs="Times New Roman" w:eastAsia="Times New Roman" w:hAnsi="Times New Roman"/>
          <w:sz w:val="17"/>
          <w:szCs w:val="17"/>
          <w:color w:val="auto"/>
        </w:rPr>
        <w:t>Notwithstanding anything to the contrary set forth in this Indenture or any other Note Document, the Company and the Holders hereby acknowledge and agree that, as of the Issue Date, the Holders desire not to receive reports, notices, documentation and other information (collectively, “Information”) which the Company reasonably believes may contain material non-public information with respect to the Company or any of its Subsidiaries, and the Company shall not provide such Information to the Holders, in each case, for so long as the Company is subject to the reporting requirements of Section 13 or Section 15 of the Exchange Act. Notwithstanding the foregoing, any Holder may, upon written notice to the Company, change its election as to receiving material non-public information (generally or in respect of particular Information or categories thereof). The Company hereby acknowledges that each Holder is relying on the foregoing acknowledgment and covenant in effecting transactions in securities of the Company. Neither the Trustee nor the Collateral Agent shall be under any obligation to determine whether any information provided to it under the Note Documents is or contains any material non-public information, and shall have no liability for the dissemination of any information or documents to the Holders pursuant to the Note Documents.</w:t>
      </w:r>
    </w:p>
    <w:p>
      <w:pPr>
        <w:spacing w:after="0" w:line="20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3.36.</w:t>
      </w:r>
      <w:r>
        <w:rPr>
          <w:sz w:val="20"/>
          <w:szCs w:val="20"/>
          <w:color w:val="auto"/>
        </w:rPr>
        <w:tab/>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ost</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losing</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ovenants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Company will, and will cause its applicable Subsidiaries listed on Schedule 3.36 to, take such actions set forth on Schedule 3.36 within the time period prescribed therefor on such schedule (as such time period may be extended by the Administrative Determination Holder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REPURCHASE AND REDEMPTION</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4.01.</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inking</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und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 sinking fund is required to be provided for the Notes.</w:t>
      </w:r>
    </w:p>
    <w:p>
      <w:pPr>
        <w:spacing w:after="0" w:line="22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4.02.</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ight of</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olders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equire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epurchase</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pon a</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undamental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hange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33"/>
        <w:spacing w:after="0" w:line="270" w:lineRule="auto"/>
        <w:tabs>
          <w:tab w:leader="none" w:pos="125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 of Holders to Require the Company to Repurchase Notes Upon a Fundamental Change</w:t>
      </w:r>
      <w:r>
        <w:rPr>
          <w:rFonts w:ascii="Times New Roman" w:cs="Times New Roman" w:eastAsia="Times New Roman" w:hAnsi="Times New Roman"/>
          <w:sz w:val="17"/>
          <w:szCs w:val="17"/>
          <w:color w:val="auto"/>
        </w:rPr>
        <w:t>. Subject to the other terms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a Fundamental Change occurs, then each Holder will have the right (the “</w:t>
      </w:r>
      <w:r>
        <w:rPr>
          <w:rFonts w:ascii="Times New Roman" w:cs="Times New Roman" w:eastAsia="Times New Roman" w:hAnsi="Times New Roman"/>
          <w:sz w:val="17"/>
          <w:szCs w:val="17"/>
          <w:b w:val="1"/>
          <w:bCs w:val="1"/>
          <w:color w:val="auto"/>
        </w:rPr>
        <w:t>Fundamental Change Repurchase Right</w:t>
      </w:r>
      <w:r>
        <w:rPr>
          <w:rFonts w:ascii="Times New Roman" w:cs="Times New Roman" w:eastAsia="Times New Roman" w:hAnsi="Times New Roman"/>
          <w:sz w:val="17"/>
          <w:szCs w:val="17"/>
          <w:color w:val="auto"/>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spacing w:after="0" w:line="167" w:lineRule="exact"/>
        <w:rPr>
          <w:rFonts w:ascii="Times New Roman" w:cs="Times New Roman" w:eastAsia="Times New Roman" w:hAnsi="Times New Roman"/>
          <w:sz w:val="17"/>
          <w:szCs w:val="17"/>
          <w:color w:val="auto"/>
        </w:rPr>
      </w:pPr>
    </w:p>
    <w:p>
      <w:pPr>
        <w:jc w:val="both"/>
        <w:ind w:firstLine="633"/>
        <w:spacing w:after="0" w:line="264" w:lineRule="auto"/>
        <w:tabs>
          <w:tab w:leader="none" w:pos="125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Repurchase Prohibited in Certain Circumstances</w:t>
      </w:r>
      <w:r>
        <w:rPr>
          <w:rFonts w:ascii="Times New Roman" w:cs="Times New Roman" w:eastAsia="Times New Roman" w:hAnsi="Times New Roman"/>
          <w:sz w:val="17"/>
          <w:szCs w:val="17"/>
          <w:color w:val="auto"/>
        </w:rPr>
        <w:t>. If the principal amount of the Notes has been accelerated and such acceleration has not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rescinded on or before the Fundamental Change Repurchase Date for a Repurchase Upon Fundamental Change (including as a result of the payment of the related Fundamental Change Repurchase Price, and any related interest pursuant to the proviso to </w:t>
      </w:r>
      <w:r>
        <w:rPr>
          <w:rFonts w:ascii="Times New Roman" w:cs="Times New Roman" w:eastAsia="Times New Roman" w:hAnsi="Times New Roman"/>
          <w:sz w:val="17"/>
          <w:szCs w:val="17"/>
          <w:b w:val="1"/>
          <w:bCs w:val="1"/>
          <w:color w:val="auto"/>
        </w:rPr>
        <w:t>Section 4.02(D)</w:t>
      </w:r>
      <w:r>
        <w:rPr>
          <w:rFonts w:ascii="Times New Roman" w:cs="Times New Roman" w:eastAsia="Times New Roman" w:hAnsi="Times New Roman"/>
          <w:sz w:val="17"/>
          <w:szCs w:val="17"/>
          <w:color w:val="auto"/>
        </w:rPr>
        <w:t xml:space="preserve">, on such Fundamental Change Repurchase Date), then (i) the Company may not repurchase any Notes pursuant to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384" w:lineRule="exact"/>
        <w:rPr>
          <w:rFonts w:ascii="Times New Roman" w:cs="Times New Roman" w:eastAsia="Times New Roman" w:hAnsi="Times New Roman"/>
          <w:sz w:val="17"/>
          <w:szCs w:val="17"/>
          <w:color w:val="auto"/>
        </w:rPr>
      </w:pPr>
    </w:p>
    <w:p>
      <w:pPr>
        <w:jc w:val="both"/>
        <w:ind w:firstLine="633"/>
        <w:spacing w:after="0" w:line="267" w:lineRule="auto"/>
        <w:tabs>
          <w:tab w:leader="none" w:pos="125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Fundamental Change Repurchase Date</w:t>
      </w:r>
      <w:r>
        <w:rPr>
          <w:rFonts w:ascii="Times New Roman" w:cs="Times New Roman" w:eastAsia="Times New Roman" w:hAnsi="Times New Roman"/>
          <w:sz w:val="17"/>
          <w:szCs w:val="17"/>
          <w:color w:val="auto"/>
        </w:rPr>
        <w:t>. The Fundamental Change Repurchase Date for any Fundamental Change will be a Business Day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Company’s choosing that is no more than seventy (70), nor less than forty (40), Business Days (or, in the case of a Fundamental Change resulting from a transaction or a series of related transactions comprising such Fundamental Change where all of the shares of Common Stock are converted into, or are exchanged for, or represent solely the right to receive, cash, no more than thirty five (35), nor less than twenty (20), Business Days) after the date the Company sends the related Fundamental Change Notice pursuant to </w:t>
      </w:r>
      <w:r>
        <w:rPr>
          <w:rFonts w:ascii="Times New Roman" w:cs="Times New Roman" w:eastAsia="Times New Roman" w:hAnsi="Times New Roman"/>
          <w:sz w:val="17"/>
          <w:szCs w:val="17"/>
          <w:b w:val="1"/>
          <w:bCs w:val="1"/>
          <w:color w:val="auto"/>
        </w:rPr>
        <w:t>Section 4.02(E)</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jc w:val="both"/>
        <w:ind w:firstLine="633"/>
        <w:spacing w:after="0" w:line="260" w:lineRule="auto"/>
        <w:tabs>
          <w:tab w:leader="none" w:pos="125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Fundamental Change Repurchase Price</w:t>
      </w:r>
      <w:r>
        <w:rPr>
          <w:rFonts w:ascii="Times New Roman" w:cs="Times New Roman" w:eastAsia="Times New Roman" w:hAnsi="Times New Roman"/>
          <w:sz w:val="17"/>
          <w:szCs w:val="17"/>
          <w:color w:val="auto"/>
        </w:rPr>
        <w:t>. The Fundamental Change Repurchase Price for any Note to be repurchased upon a Repurchase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cs="Times New Roman" w:eastAsia="Times New Roman" w:hAnsi="Times New Roman"/>
          <w:sz w:val="17"/>
          <w:szCs w:val="17"/>
          <w:b w:val="1"/>
          <w:bCs w:val="1"/>
          <w:color w:val="auto"/>
        </w:rPr>
        <w:t>Section 2.05(C)</w:t>
      </w:r>
      <w:r>
        <w:rPr>
          <w:rFonts w:ascii="Times New Roman" w:cs="Times New Roman" w:eastAsia="Times New Roman" w:hAnsi="Times New Roman"/>
          <w:sz w:val="17"/>
          <w:szCs w:val="17"/>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7"/>
          <w:szCs w:val="17"/>
          <w:b w:val="1"/>
          <w:bCs w:val="1"/>
          <w:color w:val="auto"/>
        </w:rPr>
        <w:t>Section 2.05(C)</w:t>
      </w:r>
      <w:r>
        <w:rPr>
          <w:rFonts w:ascii="Times New Roman" w:cs="Times New Roman" w:eastAsia="Times New Roman" w:hAnsi="Times New Roman"/>
          <w:sz w:val="17"/>
          <w:szCs w:val="17"/>
          <w:color w:val="auto"/>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4" w:name="page95"/>
    <w:bookmarkEnd w:id="94"/>
    <w:p>
      <w:pPr>
        <w:ind w:firstLine="633"/>
        <w:spacing w:after="0" w:line="298" w:lineRule="auto"/>
        <w:tabs>
          <w:tab w:leader="none" w:pos="125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Fundamental Change Notice</w:t>
      </w:r>
      <w:r>
        <w:rPr>
          <w:rFonts w:ascii="Times New Roman" w:cs="Times New Roman" w:eastAsia="Times New Roman" w:hAnsi="Times New Roman"/>
          <w:sz w:val="17"/>
          <w:szCs w:val="17"/>
          <w:color w:val="auto"/>
        </w:rPr>
        <w:t>. On or before the twentieth (20th) calendar day after the effective date of a Fundamental Change,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send to each Holder, the Trustee, the Conversion Agent and the Paying Agent a notice of such Fundamental Change (a “</w:t>
      </w:r>
      <w:r>
        <w:rPr>
          <w:rFonts w:ascii="Times New Roman" w:cs="Times New Roman" w:eastAsia="Times New Roman" w:hAnsi="Times New Roman"/>
          <w:sz w:val="17"/>
          <w:szCs w:val="17"/>
          <w:b w:val="1"/>
          <w:bCs w:val="1"/>
          <w:color w:val="auto"/>
        </w:rPr>
        <w:t>Fundamental Change Notice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Such Fundamental Change Notice must state:</w:t>
      </w:r>
    </w:p>
    <w:p>
      <w:pPr>
        <w:spacing w:after="0" w:line="223" w:lineRule="exact"/>
        <w:rPr>
          <w:sz w:val="20"/>
          <w:szCs w:val="20"/>
          <w:color w:val="auto"/>
        </w:rPr>
      </w:pPr>
    </w:p>
    <w:p>
      <w:pPr>
        <w:ind w:left="1880" w:hanging="619"/>
        <w:spacing w:after="0"/>
        <w:tabs>
          <w:tab w:leader="none" w:pos="18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briefly, the events causing such Fundamental Change;</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date of such Fundamental Change;</w:t>
      </w:r>
    </w:p>
    <w:p>
      <w:pPr>
        <w:spacing w:after="0" w:line="221" w:lineRule="exact"/>
        <w:rPr>
          <w:rFonts w:ascii="Times New Roman" w:cs="Times New Roman" w:eastAsia="Times New Roman" w:hAnsi="Times New Roman"/>
          <w:sz w:val="17"/>
          <w:szCs w:val="17"/>
          <w:color w:val="auto"/>
        </w:rPr>
      </w:pPr>
    </w:p>
    <w:p>
      <w:pPr>
        <w:jc w:val="both"/>
        <w:ind w:left="640" w:firstLine="621"/>
        <w:spacing w:after="0" w:line="277" w:lineRule="auto"/>
        <w:tabs>
          <w:tab w:leader="none" w:pos="18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procedures that a Holder must follow to require the Company to repurchase its Notes pursuant to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including the deadline for exercising the Fundamental Change Repurchase Right and the procedures for submitting and withdrawing a Fundamental Change Repurchase Notice;</w:t>
      </w:r>
    </w:p>
    <w:p>
      <w:pPr>
        <w:spacing w:after="0" w:line="162"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Fundamental Change Repurchase Date for such Fundamental Change;</w:t>
      </w:r>
    </w:p>
    <w:p>
      <w:pPr>
        <w:spacing w:after="0" w:line="223"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Times New Roman" w:cs="Times New Roman" w:eastAsia="Times New Roman" w:hAnsi="Times New Roman"/>
          <w:sz w:val="17"/>
          <w:szCs w:val="17"/>
          <w:b w:val="1"/>
          <w:bCs w:val="1"/>
          <w:color w:val="auto"/>
        </w:rPr>
        <w:t>Section 4.02(D)</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the Paying Agent and the Conversion Agent;</w:t>
      </w:r>
    </w:p>
    <w:p>
      <w:pPr>
        <w:spacing w:after="0" w:line="223"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4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4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CUSIP and ISIN numbers, if any, of the Notes.</w:t>
      </w:r>
    </w:p>
    <w:p>
      <w:pPr>
        <w:spacing w:after="0" w:line="223" w:lineRule="exact"/>
        <w:rPr>
          <w:sz w:val="20"/>
          <w:szCs w:val="20"/>
          <w:color w:val="auto"/>
        </w:rPr>
      </w:pPr>
    </w:p>
    <w:p>
      <w:pPr>
        <w:ind w:firstLine="628"/>
        <w:spacing w:after="0" w:line="296" w:lineRule="auto"/>
        <w:rPr>
          <w:sz w:val="20"/>
          <w:szCs w:val="20"/>
          <w:color w:val="auto"/>
        </w:rPr>
      </w:pPr>
      <w:r>
        <w:rPr>
          <w:rFonts w:ascii="Times New Roman" w:cs="Times New Roman" w:eastAsia="Times New Roman" w:hAnsi="Times New Roman"/>
          <w:sz w:val="17"/>
          <w:szCs w:val="17"/>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5" w:name="page96"/>
    <w:bookmarkEnd w:id="95"/>
    <w:p>
      <w:pPr>
        <w:ind w:left="627" w:hanging="627"/>
        <w:spacing w:after="0"/>
        <w:tabs>
          <w:tab w:leader="none" w:pos="62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Procedures to Exercise the Fundamental Change Repurchase Right</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7" w:firstLine="621"/>
        <w:spacing w:after="0" w:line="298" w:lineRule="auto"/>
        <w:tabs>
          <w:tab w:leader="none" w:pos="1263"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Fundamental Change Repurchase Notice and Notes to Be Repurchased</w:t>
      </w:r>
      <w:r>
        <w:rPr>
          <w:rFonts w:ascii="Times New Roman" w:cs="Times New Roman" w:eastAsia="Times New Roman" w:hAnsi="Times New Roman"/>
          <w:sz w:val="17"/>
          <w:szCs w:val="17"/>
          <w:color w:val="auto"/>
        </w:rPr>
        <w:t>. To exercise its Fundamental Change Repurchase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Right for a Note following a Fundamental Change, the Holder thereof must deliver to the Paying Agent:</w:t>
      </w:r>
    </w:p>
    <w:p>
      <w:pPr>
        <w:spacing w:after="0" w:line="144"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45"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Note, duly endorsed for transfer (if such Note is a Physical Note) or by book-entry transfer (if such Note is a Global</w:t>
      </w:r>
    </w:p>
    <w:p>
      <w:pPr>
        <w:spacing w:after="0" w:line="31" w:lineRule="exact"/>
        <w:rPr>
          <w:rFonts w:ascii="Times New Roman" w:cs="Times New Roman" w:eastAsia="Times New Roman" w:hAnsi="Times New Roman"/>
          <w:sz w:val="17"/>
          <w:szCs w:val="17"/>
          <w:color w:val="auto"/>
        </w:rPr>
      </w:pPr>
    </w:p>
    <w:p>
      <w:pPr>
        <w:ind w:left="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w:t>
      </w:r>
    </w:p>
    <w:p>
      <w:pPr>
        <w:spacing w:after="0" w:line="2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The Paying Agent will promptly deliver to the Company a copy of each Fundamental Change Repurchase Notice that it receives.</w:t>
      </w:r>
    </w:p>
    <w:p>
      <w:pPr>
        <w:spacing w:after="0" w:line="221" w:lineRule="exact"/>
        <w:rPr>
          <w:sz w:val="20"/>
          <w:szCs w:val="20"/>
          <w:color w:val="auto"/>
        </w:rPr>
      </w:pPr>
    </w:p>
    <w:p>
      <w:pPr>
        <w:ind w:left="1247" w:hanging="619"/>
        <w:spacing w:after="0"/>
        <w:tabs>
          <w:tab w:leader="none" w:pos="124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Contents of Fundamental Change Repurchase Notices</w:t>
      </w:r>
      <w:r>
        <w:rPr>
          <w:rFonts w:ascii="Times New Roman" w:cs="Times New Roman" w:eastAsia="Times New Roman" w:hAnsi="Times New Roman"/>
          <w:sz w:val="17"/>
          <w:szCs w:val="17"/>
          <w:color w:val="auto"/>
        </w:rPr>
        <w:t>. Each Fundamental Change Repurchase Notice with respect to a Note must</w:t>
      </w:r>
    </w:p>
    <w:p>
      <w:pPr>
        <w:spacing w:after="0" w:line="3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state:</w:t>
      </w:r>
    </w:p>
    <w:p>
      <w:pPr>
        <w:spacing w:after="0" w:line="205" w:lineRule="exact"/>
        <w:rPr>
          <w:sz w:val="20"/>
          <w:szCs w:val="20"/>
          <w:color w:val="auto"/>
        </w:rPr>
      </w:pPr>
    </w:p>
    <w:p>
      <w:pPr>
        <w:ind w:left="1887" w:hanging="631"/>
        <w:spacing w:after="0"/>
        <w:tabs>
          <w:tab w:leader="none" w:pos="188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Note is a Physical Note, the certificate number of such Note;</w:t>
      </w:r>
    </w:p>
    <w:p>
      <w:pPr>
        <w:spacing w:after="0" w:line="223"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such Note to be repurchased, which must be an Authorized Denomination; and</w:t>
      </w:r>
    </w:p>
    <w:p>
      <w:pPr>
        <w:spacing w:after="0" w:line="223" w:lineRule="exact"/>
        <w:rPr>
          <w:rFonts w:ascii="Times New Roman" w:cs="Times New Roman" w:eastAsia="Times New Roman" w:hAnsi="Times New Roman"/>
          <w:sz w:val="17"/>
          <w:szCs w:val="17"/>
          <w:color w:val="auto"/>
        </w:rPr>
      </w:pPr>
    </w:p>
    <w:p>
      <w:pPr>
        <w:jc w:val="both"/>
        <w:ind w:left="7" w:firstLine="1249"/>
        <w:spacing w:after="0" w:line="270" w:lineRule="auto"/>
        <w:tabs>
          <w:tab w:leader="none" w:pos="189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such Holder is exercising its Fundamental Change Repurchase Right with respect to such principal amount of such Note; p</w:t>
      </w:r>
      <w:r>
        <w:rPr>
          <w:rFonts w:ascii="Times New Roman" w:cs="Times New Roman" w:eastAsia="Times New Roman" w:hAnsi="Times New Roman"/>
          <w:sz w:val="17"/>
          <w:szCs w:val="17"/>
          <w:i w:val="1"/>
          <w:iCs w:val="1"/>
          <w:color w:val="auto"/>
        </w:rPr>
        <w:t>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7"/>
          <w:szCs w:val="17"/>
          <w:b w:val="1"/>
          <w:bCs w:val="1"/>
          <w:color w:val="auto"/>
        </w:rPr>
        <w:t>Section 4.02(F)</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jc w:val="both"/>
        <w:ind w:left="7" w:firstLine="621"/>
        <w:spacing w:after="0" w:line="270" w:lineRule="auto"/>
        <w:tabs>
          <w:tab w:leader="none" w:pos="126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Withdrawal of Fundamental Change Repurchase Notice</w:t>
      </w:r>
      <w:r>
        <w:rPr>
          <w:rFonts w:ascii="Times New Roman" w:cs="Times New Roman" w:eastAsia="Times New Roman" w:hAnsi="Times New Roman"/>
          <w:sz w:val="17"/>
          <w:szCs w:val="17"/>
          <w:color w:val="auto"/>
        </w:rPr>
        <w:t>. A Holder that has delivered a Fundamental Change Repurchase Notice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69"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Note is a Physical Note, the certificate number of such Note;</w:t>
      </w:r>
    </w:p>
    <w:p>
      <w:pPr>
        <w:spacing w:after="0" w:line="223"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such Note to be withdrawn, which must be an Authorized Denomination; and</w:t>
      </w:r>
    </w:p>
    <w:p>
      <w:pPr>
        <w:spacing w:after="0" w:line="223" w:lineRule="exact"/>
        <w:rPr>
          <w:rFonts w:ascii="Times New Roman" w:cs="Times New Roman" w:eastAsia="Times New Roman" w:hAnsi="Times New Roman"/>
          <w:sz w:val="17"/>
          <w:szCs w:val="17"/>
          <w:color w:val="auto"/>
        </w:rPr>
      </w:pPr>
    </w:p>
    <w:p>
      <w:pPr>
        <w:jc w:val="both"/>
        <w:ind w:left="7" w:firstLine="1249"/>
        <w:spacing w:after="0" w:line="270" w:lineRule="auto"/>
        <w:tabs>
          <w:tab w:leader="none" w:pos="189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principal amount of such Note, if any, that remains subject to such Fundamental Change Repurchase Notice, which must be an Authorized Denomination;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cs="Times New Roman" w:eastAsia="Times New Roman" w:hAnsi="Times New Roman"/>
          <w:sz w:val="17"/>
          <w:szCs w:val="17"/>
          <w:b w:val="1"/>
          <w:bCs w:val="1"/>
          <w:color w:val="auto"/>
        </w:rPr>
        <w:t>Section 4.02(F)</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both"/>
        <w:ind w:left="7"/>
        <w:spacing w:after="0" w:line="265" w:lineRule="auto"/>
        <w:rPr>
          <w:sz w:val="20"/>
          <w:szCs w:val="20"/>
          <w:color w:val="auto"/>
        </w:rPr>
      </w:pPr>
      <w:r>
        <w:rPr>
          <w:rFonts w:ascii="Times New Roman" w:cs="Times New Roman" w:eastAsia="Times New Roman" w:hAnsi="Times New Roman"/>
          <w:sz w:val="17"/>
          <w:szCs w:val="17"/>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7"/>
          <w:szCs w:val="17"/>
          <w:b w:val="1"/>
          <w:bCs w:val="1"/>
          <w:color w:val="auto"/>
        </w:rPr>
        <w:t>Section 2.11</w:t>
      </w:r>
      <w:r>
        <w:rPr>
          <w:rFonts w:ascii="Times New Roman" w:cs="Times New Roman" w:eastAsia="Times New Roman" w:hAnsi="Times New Roman"/>
          <w:sz w:val="17"/>
          <w:szCs w:val="17"/>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73" w:right="339" w:bottom="1440" w:gutter="0" w:footer="0" w:header="0"/>
        </w:sectPr>
      </w:pPr>
    </w:p>
    <w:bookmarkStart w:id="96" w:name="page97"/>
    <w:bookmarkEnd w:id="96"/>
    <w:p>
      <w:pPr>
        <w:jc w:val="both"/>
        <w:ind w:left="-20" w:firstLine="633"/>
        <w:spacing w:after="0" w:line="262" w:lineRule="auto"/>
        <w:tabs>
          <w:tab w:leader="none" w:pos="12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the Fundamental Change Repurchase Price</w:t>
      </w:r>
      <w:r>
        <w:rPr>
          <w:rFonts w:ascii="Times New Roman" w:cs="Times New Roman" w:eastAsia="Times New Roman" w:hAnsi="Times New Roman"/>
          <w:sz w:val="17"/>
          <w:szCs w:val="17"/>
          <w:color w:val="auto"/>
        </w:rPr>
        <w:t>. Without limiting the Company’s obligation to deposit the Fundamental 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Repurchase Price within the time proscribed by </w:t>
      </w:r>
      <w:r>
        <w:rPr>
          <w:rFonts w:ascii="Times New Roman" w:cs="Times New Roman" w:eastAsia="Times New Roman" w:hAnsi="Times New Roman"/>
          <w:sz w:val="17"/>
          <w:szCs w:val="17"/>
          <w:b w:val="1"/>
          <w:bCs w:val="1"/>
          <w:color w:val="auto"/>
        </w:rPr>
        <w:t>Section 3.01(B)</w:t>
      </w:r>
      <w:r>
        <w:rPr>
          <w:rFonts w:ascii="Times New Roman" w:cs="Times New Roman" w:eastAsia="Times New Roman" w:hAnsi="Times New Roman"/>
          <w:sz w:val="17"/>
          <w:szCs w:val="17"/>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Times New Roman" w:cs="Times New Roman" w:eastAsia="Times New Roman" w:hAnsi="Times New Roman"/>
          <w:sz w:val="17"/>
          <w:szCs w:val="17"/>
          <w:b w:val="1"/>
          <w:bCs w:val="1"/>
          <w:color w:val="auto"/>
        </w:rPr>
        <w:t>Section 4.02(D)</w:t>
      </w:r>
      <w:r>
        <w:rPr>
          <w:rFonts w:ascii="Times New Roman" w:cs="Times New Roman" w:eastAsia="Times New Roman" w:hAnsi="Times New Roman"/>
          <w:sz w:val="17"/>
          <w:szCs w:val="17"/>
          <w:color w:val="auto"/>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cs="Times New Roman" w:eastAsia="Times New Roman" w:hAnsi="Times New Roman"/>
          <w:sz w:val="17"/>
          <w:szCs w:val="17"/>
          <w:b w:val="1"/>
          <w:bCs w:val="1"/>
          <w:color w:val="auto"/>
        </w:rPr>
        <w:t>Section 4.02(G)</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jc w:val="both"/>
        <w:ind w:left="-20" w:firstLine="633"/>
        <w:spacing w:after="0" w:line="267" w:lineRule="auto"/>
        <w:tabs>
          <w:tab w:leader="none" w:pos="12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Third Party May Conduct Repurchase Offer In Lieu of the Company</w:t>
      </w:r>
      <w:r>
        <w:rPr>
          <w:rFonts w:ascii="Times New Roman" w:cs="Times New Roman" w:eastAsia="Times New Roman" w:hAnsi="Times New Roman"/>
          <w:sz w:val="17"/>
          <w:szCs w:val="17"/>
          <w:color w:val="auto"/>
        </w:rPr>
        <w:t>. Notwithstanding anything to the contrary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will be deemed to satisfy its obligations under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if (i) one or more third parties conduct any Repurchase Upon Fundamental Change and related offer to repurchase Notes otherwise required by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in a manner that would have satisfied the requirements of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if 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w:t>
      </w:r>
    </w:p>
    <w:p>
      <w:pPr>
        <w:spacing w:after="0" w:line="168" w:lineRule="exact"/>
        <w:rPr>
          <w:rFonts w:ascii="Times New Roman" w:cs="Times New Roman" w:eastAsia="Times New Roman" w:hAnsi="Times New Roman"/>
          <w:sz w:val="17"/>
          <w:szCs w:val="17"/>
          <w:color w:val="auto"/>
        </w:rPr>
      </w:pPr>
    </w:p>
    <w:p>
      <w:pPr>
        <w:jc w:val="both"/>
        <w:ind w:left="-20" w:firstLine="633"/>
        <w:spacing w:after="0" w:line="262" w:lineRule="auto"/>
        <w:tabs>
          <w:tab w:leader="none" w:pos="12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17"/>
          <w:szCs w:val="17"/>
          <w:color w:val="auto"/>
        </w:rPr>
        <w:t>. Notwithstanding anything to the contrary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the Company will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required to send a Fundamental Change Notice pursuant to </w:t>
      </w:r>
      <w:r>
        <w:rPr>
          <w:rFonts w:ascii="Times New Roman" w:cs="Times New Roman" w:eastAsia="Times New Roman" w:hAnsi="Times New Roman"/>
          <w:sz w:val="17"/>
          <w:szCs w:val="17"/>
          <w:b w:val="1"/>
          <w:bCs w:val="1"/>
          <w:color w:val="auto"/>
        </w:rPr>
        <w:t>Section 4.02(E)</w:t>
      </w:r>
      <w:r>
        <w:rPr>
          <w:rFonts w:ascii="Times New Roman" w:cs="Times New Roman" w:eastAsia="Times New Roman" w:hAnsi="Times New Roman"/>
          <w:sz w:val="17"/>
          <w:szCs w:val="17"/>
          <w:color w:val="auto"/>
        </w:rPr>
        <w:t xml:space="preserve">, or offer to repurchase or repurchase any Notes pursuant to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in connection with a Fundamental Change occurring pursuant to </w:t>
      </w:r>
      <w:r>
        <w:rPr>
          <w:rFonts w:ascii="Times New Roman" w:cs="Times New Roman" w:eastAsia="Times New Roman" w:hAnsi="Times New Roman"/>
          <w:sz w:val="17"/>
          <w:szCs w:val="17"/>
          <w:b w:val="1"/>
          <w:bCs w:val="1"/>
          <w:color w:val="auto"/>
        </w:rPr>
        <w:t>clause (B)(ii)</w:t>
      </w:r>
      <w:r>
        <w:rPr>
          <w:rFonts w:ascii="Times New Roman" w:cs="Times New Roman" w:eastAsia="Times New Roman" w:hAnsi="Times New Roman"/>
          <w:sz w:val="17"/>
          <w:szCs w:val="17"/>
          <w:color w:val="auto"/>
        </w:rPr>
        <w:t xml:space="preserve"> (or pursuant to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that also constitutes a Fundamental Change occurring pursuant to </w:t>
      </w:r>
      <w:r>
        <w:rPr>
          <w:rFonts w:ascii="Times New Roman" w:cs="Times New Roman" w:eastAsia="Times New Roman" w:hAnsi="Times New Roman"/>
          <w:sz w:val="17"/>
          <w:szCs w:val="17"/>
          <w:b w:val="1"/>
          <w:bCs w:val="1"/>
          <w:color w:val="auto"/>
        </w:rPr>
        <w:t>clause (B)(ii)</w:t>
      </w:r>
      <w:r>
        <w:rPr>
          <w:rFonts w:ascii="Times New Roman" w:cs="Times New Roman" w:eastAsia="Times New Roman" w:hAnsi="Times New Roman"/>
          <w:sz w:val="17"/>
          <w:szCs w:val="17"/>
          <w:color w:val="auto"/>
        </w:rPr>
        <w:t xml:space="preserve">) of the definition thereof, if (i) such Fundamental Change constitutes a Common Stock Change Event whose Reference Property consists entirely of cash in U.S. dollars; and (ii) immediately after such Fundamental Change, the Notes become convertible, pursuant to </w:t>
      </w:r>
      <w:r>
        <w:rPr>
          <w:rFonts w:ascii="Times New Roman" w:cs="Times New Roman" w:eastAsia="Times New Roman" w:hAnsi="Times New Roman"/>
          <w:sz w:val="17"/>
          <w:szCs w:val="17"/>
          <w:b w:val="1"/>
          <w:bCs w:val="1"/>
          <w:color w:val="auto"/>
        </w:rPr>
        <w:t>Section 5.09(A)</w:t>
      </w:r>
      <w:r>
        <w:rPr>
          <w:rFonts w:ascii="Times New Roman" w:cs="Times New Roman" w:eastAsia="Times New Roman" w:hAnsi="Times New Roman"/>
          <w:sz w:val="17"/>
          <w:szCs w:val="17"/>
          <w:color w:val="auto"/>
        </w:rPr>
        <w:t xml:space="preserve"> and, if applicable,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 into consideration that consists solely of U.S. dollars in an amount per $1,000 aggregate principal amount of Notes that equals or exceeds the Fundamental Change Repurchase Price per $1,000 aggregate principal amount of Notes (calculated assuming that the same includes accrued and unpaid interest to, but excluding, the latest possible Fundamental Change Repurchase Date for such Fundamental Change).</w:t>
      </w:r>
    </w:p>
    <w:p>
      <w:pPr>
        <w:spacing w:after="0" w:line="172" w:lineRule="exact"/>
        <w:rPr>
          <w:rFonts w:ascii="Times New Roman" w:cs="Times New Roman" w:eastAsia="Times New Roman" w:hAnsi="Times New Roman"/>
          <w:sz w:val="17"/>
          <w:szCs w:val="17"/>
          <w:color w:val="auto"/>
        </w:rPr>
      </w:pPr>
    </w:p>
    <w:p>
      <w:pPr>
        <w:jc w:val="both"/>
        <w:ind w:left="-20" w:firstLine="633"/>
        <w:spacing w:after="0" w:line="266" w:lineRule="auto"/>
        <w:tabs>
          <w:tab w:leader="none" w:pos="12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with Applicable Securities Laws</w:t>
      </w:r>
      <w:r>
        <w:rPr>
          <w:rFonts w:ascii="Times New Roman" w:cs="Times New Roman" w:eastAsia="Times New Roman" w:hAnsi="Times New Roman"/>
          <w:sz w:val="17"/>
          <w:szCs w:val="17"/>
          <w:color w:val="auto"/>
        </w:rPr>
        <w:t>. To the extent applicable, the Company will comply, in all material respects, with all federal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to the extent that the Company’s obligations pursuant to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382" w:lineRule="exact"/>
        <w:rPr>
          <w:rFonts w:ascii="Times New Roman" w:cs="Times New Roman" w:eastAsia="Times New Roman" w:hAnsi="Times New Roman"/>
          <w:sz w:val="17"/>
          <w:szCs w:val="17"/>
          <w:color w:val="auto"/>
        </w:rPr>
      </w:pPr>
    </w:p>
    <w:p>
      <w:pPr>
        <w:jc w:val="both"/>
        <w:ind w:left="-20" w:firstLine="633"/>
        <w:spacing w:after="0" w:line="277" w:lineRule="auto"/>
        <w:tabs>
          <w:tab w:leader="none" w:pos="12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Repurchase in Part</w:t>
      </w:r>
      <w:r>
        <w:rPr>
          <w:rFonts w:ascii="Times New Roman" w:cs="Times New Roman" w:eastAsia="Times New Roman" w:hAnsi="Times New Roman"/>
          <w:sz w:val="17"/>
          <w:szCs w:val="17"/>
          <w:color w:val="auto"/>
        </w:rPr>
        <w:t>. Subject to the terms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Notes may be repurchased pursuant to a Repurchase Upon Fundamental 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part, but only in Authorized Denominations. Provisions of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applying to the repurchase of a Note in whole will equally apply to the repurchase of a permitted portion of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97" w:name="page98"/>
    <w:bookmarkEnd w:id="97"/>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4.03.</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ight of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edeem the</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20" w:firstLine="633"/>
        <w:spacing w:after="0" w:line="298" w:lineRule="auto"/>
        <w:tabs>
          <w:tab w:leader="none" w:pos="123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Right to Redeem Before the Redemption Trigger Date</w:t>
      </w:r>
      <w:r>
        <w:rPr>
          <w:rFonts w:ascii="Times New Roman" w:cs="Times New Roman" w:eastAsia="Times New Roman" w:hAnsi="Times New Roman"/>
          <w:sz w:val="17"/>
          <w:szCs w:val="17"/>
          <w:color w:val="auto"/>
        </w:rPr>
        <w:t>. The Company may not redeem the Notes at its option at any time before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Redemption Trigger Date.</w:t>
      </w:r>
    </w:p>
    <w:p>
      <w:pPr>
        <w:spacing w:after="0" w:line="142" w:lineRule="exact"/>
        <w:rPr>
          <w:rFonts w:ascii="Times New Roman" w:cs="Times New Roman" w:eastAsia="Times New Roman" w:hAnsi="Times New Roman"/>
          <w:sz w:val="17"/>
          <w:szCs w:val="17"/>
          <w:color w:val="auto"/>
        </w:rPr>
      </w:pPr>
    </w:p>
    <w:p>
      <w:pPr>
        <w:jc w:val="both"/>
        <w:ind w:left="-20" w:firstLine="633"/>
        <w:spacing w:after="0" w:line="265" w:lineRule="auto"/>
        <w:tabs>
          <w:tab w:leader="none" w:pos="123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 to Redeem the Notes on or After the Redemption Trigger Date. S</w:t>
      </w:r>
      <w:r>
        <w:rPr>
          <w:rFonts w:ascii="Times New Roman" w:cs="Times New Roman" w:eastAsia="Times New Roman" w:hAnsi="Times New Roman"/>
          <w:sz w:val="17"/>
          <w:szCs w:val="17"/>
          <w:color w:val="auto"/>
        </w:rPr>
        <w:t>ubject to the terms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the Company has the right, at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election, to redeem all, or any portion in an Authorized Denomination, of the Notes, at any time, and from time to time, on a Redemption Date on or after the Redemption Trigger Date and on or before the 40th Scheduled Trading Day immediately before the Maturity Date, for a cash purchase price equal to the Redemption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Company will not be entitled to call less than all of the outstanding Notes for Redemption. For the avoidance of doubt, the calling of any Notes for Redemption will constitute a Make-Whole Fundamental Change with respect to such Notes pursuant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of the definition thereof.</w:t>
      </w:r>
    </w:p>
    <w:p>
      <w:pPr>
        <w:spacing w:after="0" w:line="170" w:lineRule="exact"/>
        <w:rPr>
          <w:rFonts w:ascii="Times New Roman" w:cs="Times New Roman" w:eastAsia="Times New Roman" w:hAnsi="Times New Roman"/>
          <w:sz w:val="17"/>
          <w:szCs w:val="17"/>
          <w:color w:val="auto"/>
        </w:rPr>
      </w:pPr>
    </w:p>
    <w:p>
      <w:pPr>
        <w:jc w:val="both"/>
        <w:ind w:left="-20" w:firstLine="633"/>
        <w:spacing w:after="0" w:line="265" w:lineRule="auto"/>
        <w:tabs>
          <w:tab w:leader="none" w:pos="123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Redemption Prohibited in Certain Circumstances</w:t>
      </w:r>
      <w:r>
        <w:rPr>
          <w:rFonts w:ascii="Times New Roman" w:cs="Times New Roman" w:eastAsia="Times New Roman" w:hAnsi="Times New Roman"/>
          <w:sz w:val="17"/>
          <w:szCs w:val="17"/>
          <w:color w:val="auto"/>
        </w:rPr>
        <w:t>. If the principal amount of the Notes has been accelerated and such acceleration has not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rescinded on or before the Redemption Date (including as a result of the payment of the related Redemption Price, and any related interest pursuant to the proviso to </w:t>
      </w:r>
      <w:r>
        <w:rPr>
          <w:rFonts w:ascii="Times New Roman" w:cs="Times New Roman" w:eastAsia="Times New Roman" w:hAnsi="Times New Roman"/>
          <w:sz w:val="17"/>
          <w:szCs w:val="17"/>
          <w:b w:val="1"/>
          <w:bCs w:val="1"/>
          <w:color w:val="auto"/>
        </w:rPr>
        <w:t>Section 4.03(E)</w:t>
      </w:r>
      <w:r>
        <w:rPr>
          <w:rFonts w:ascii="Times New Roman" w:cs="Times New Roman" w:eastAsia="Times New Roman" w:hAnsi="Times New Roman"/>
          <w:sz w:val="17"/>
          <w:szCs w:val="17"/>
          <w:color w:val="auto"/>
        </w:rPr>
        <w:t xml:space="preserve">, on such Redemption Date), then (i) the Company may not call for Redemption or otherwise redeem any Notes pursuant to this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and (ii) the Company will cause any Notes theretofore surrendered for such Redemption to be returned to the Holders thereof (or, if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Global Notes, cancel any instructions for book-entry transfer to the Company, the Trustee or the Paying Agent of the applicable beneficial interests in such Notes in accordance with the Depositary Procedures).</w:t>
      </w:r>
    </w:p>
    <w:p>
      <w:pPr>
        <w:spacing w:after="0" w:line="170" w:lineRule="exact"/>
        <w:rPr>
          <w:rFonts w:ascii="Times New Roman" w:cs="Times New Roman" w:eastAsia="Times New Roman" w:hAnsi="Times New Roman"/>
          <w:sz w:val="17"/>
          <w:szCs w:val="17"/>
          <w:color w:val="auto"/>
        </w:rPr>
      </w:pPr>
    </w:p>
    <w:p>
      <w:pPr>
        <w:ind w:left="-20" w:firstLine="633"/>
        <w:spacing w:after="0" w:line="298" w:lineRule="auto"/>
        <w:tabs>
          <w:tab w:leader="none" w:pos="123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Redemption Date</w:t>
      </w:r>
      <w:r>
        <w:rPr>
          <w:rFonts w:ascii="Times New Roman" w:cs="Times New Roman" w:eastAsia="Times New Roman" w:hAnsi="Times New Roman"/>
          <w:sz w:val="17"/>
          <w:szCs w:val="17"/>
          <w:color w:val="auto"/>
        </w:rPr>
        <w:t>. The Redemption Date for any Redemption will be a Business Day of the Company’s choosing that is no more than sixty-five (65), nor less than fifty-five (55), Scheduled Trading Days after the Redemption Notice Date for such Redemption.</w:t>
      </w:r>
    </w:p>
    <w:p>
      <w:pPr>
        <w:spacing w:after="0" w:line="142" w:lineRule="exact"/>
        <w:rPr>
          <w:rFonts w:ascii="Times New Roman" w:cs="Times New Roman" w:eastAsia="Times New Roman" w:hAnsi="Times New Roman"/>
          <w:sz w:val="17"/>
          <w:szCs w:val="17"/>
          <w:color w:val="auto"/>
        </w:rPr>
      </w:pPr>
    </w:p>
    <w:p>
      <w:pPr>
        <w:jc w:val="both"/>
        <w:ind w:left="-20" w:firstLine="633"/>
        <w:spacing w:after="0" w:line="261" w:lineRule="auto"/>
        <w:tabs>
          <w:tab w:leader="none" w:pos="123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Redemption Price</w:t>
      </w:r>
      <w:r>
        <w:rPr>
          <w:rFonts w:ascii="Times New Roman" w:cs="Times New Roman" w:eastAsia="Times New Roman" w:hAnsi="Times New Roman"/>
          <w:sz w:val="17"/>
          <w:szCs w:val="17"/>
          <w:color w:val="auto"/>
        </w:rPr>
        <w:t>. The Redemption Price for any Note called for Redemption is an amount in cash equal to the principal amount of such Note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plus accrued and unpaid interest on such Note to, but excluding, the Redemption Date for such Redemption;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cs="Times New Roman" w:eastAsia="Times New Roman" w:hAnsi="Times New Roman"/>
          <w:sz w:val="17"/>
          <w:szCs w:val="17"/>
          <w:b w:val="1"/>
          <w:bCs w:val="1"/>
          <w:color w:val="auto"/>
        </w:rPr>
        <w:t>Section 2.05(C)</w:t>
      </w:r>
      <w:r>
        <w:rPr>
          <w:rFonts w:ascii="Times New Roman" w:cs="Times New Roman" w:eastAsia="Times New Roman" w:hAnsi="Times New Roman"/>
          <w:sz w:val="17"/>
          <w:szCs w:val="17"/>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7"/>
          <w:szCs w:val="17"/>
          <w:b w:val="1"/>
          <w:bCs w:val="1"/>
          <w:color w:val="auto"/>
        </w:rPr>
        <w:t>Section 2.05(C)</w:t>
      </w:r>
      <w:r>
        <w:rPr>
          <w:rFonts w:ascii="Times New Roman" w:cs="Times New Roman" w:eastAsia="Times New Roman" w:hAnsi="Times New Roman"/>
          <w:sz w:val="17"/>
          <w:szCs w:val="17"/>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98" w:name="page99"/>
    <w:bookmarkEnd w:id="98"/>
    <w:p>
      <w:pPr>
        <w:ind w:left="-20" w:firstLine="633"/>
        <w:spacing w:after="0" w:line="298" w:lineRule="auto"/>
        <w:tabs>
          <w:tab w:leader="none" w:pos="123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Redemption Notice</w:t>
      </w:r>
      <w:r>
        <w:rPr>
          <w:rFonts w:ascii="Times New Roman" w:cs="Times New Roman" w:eastAsia="Times New Roman" w:hAnsi="Times New Roman"/>
          <w:sz w:val="17"/>
          <w:szCs w:val="17"/>
          <w:color w:val="auto"/>
        </w:rPr>
        <w:t>. To call any Notes for Redemption, the Company must send to each Holder of such Notes, the Trustee and the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a written notice of such Redemption (a “</w:t>
      </w:r>
      <w:r>
        <w:rPr>
          <w:rFonts w:ascii="Times New Roman" w:cs="Times New Roman" w:eastAsia="Times New Roman" w:hAnsi="Times New Roman"/>
          <w:sz w:val="17"/>
          <w:szCs w:val="17"/>
          <w:b w:val="1"/>
          <w:bCs w:val="1"/>
          <w:color w:val="auto"/>
        </w:rPr>
        <w:t>Redemption Notice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Such Redemption Notice must state:</w:t>
      </w:r>
    </w:p>
    <w:p>
      <w:pPr>
        <w:spacing w:after="0" w:line="223" w:lineRule="exact"/>
        <w:rPr>
          <w:sz w:val="20"/>
          <w:szCs w:val="20"/>
          <w:color w:val="auto"/>
        </w:rPr>
      </w:pPr>
    </w:p>
    <w:p>
      <w:pPr>
        <w:ind w:left="1860" w:hanging="619"/>
        <w:spacing w:after="0"/>
        <w:tabs>
          <w:tab w:leader="none" w:pos="18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such Notes have been called for Redemption, briefly describing the Company’s Redemption right under this Indenture;</w:t>
      </w:r>
    </w:p>
    <w:p>
      <w:pPr>
        <w:spacing w:after="0" w:line="223"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 for such Redemption;</w:t>
      </w:r>
    </w:p>
    <w:p>
      <w:pPr>
        <w:spacing w:after="0" w:line="223"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w:t>
      </w:r>
      <w:r>
        <w:rPr>
          <w:rFonts w:ascii="Times New Roman" w:cs="Times New Roman" w:eastAsia="Times New Roman" w:hAnsi="Times New Roman"/>
          <w:sz w:val="17"/>
          <w:szCs w:val="17"/>
          <w:b w:val="1"/>
          <w:bCs w:val="1"/>
          <w:color w:val="auto"/>
        </w:rPr>
        <w:t>Section 4.03(E)</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the Paying Agent and the Conversion Agent;</w:t>
      </w:r>
    </w:p>
    <w:p>
      <w:pPr>
        <w:spacing w:after="0" w:line="223"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spacing w:after="0" w:line="162"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Settlement Method that will apply to all conversions of Notes with a Conversion Date that occurs on or after such Redemption Notice Date and on or before the Business Day immediately preceding such Redemption Date; and</w:t>
      </w:r>
    </w:p>
    <w:p>
      <w:pPr>
        <w:spacing w:after="0" w:line="145"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CUSIP and ISIN numbers, if any, of the Notes. On or before the Redemption Notice Date, the Company will send a copy of such Redemption Notice to the Trustee, the Conversion Agent and the Paying Agent.</w:t>
      </w:r>
    </w:p>
    <w:p>
      <w:pPr>
        <w:spacing w:after="0" w:line="143"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Selection and Conversion of Notes to Be Redeemed in Part</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less than all Notes then outstanding are called for Redemption, then the Notes to be redeemed will be selected as follows: (1) in the case of Global Notes, in accordance with the Depositary Procedures; and (2) in the case of Physical Notes, pro rata, by lot or by such other method the Trustee considers fair and appropriate.</w:t>
      </w:r>
    </w:p>
    <w:p>
      <w:pPr>
        <w:spacing w:after="0" w:line="162"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only a portion of a Note is subject to Redemption and such Note is converted in part, then the converted portion of such Note will be deemed to be from the portion of such Note that was subject to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99" w:name="page100"/>
    <w:bookmarkEnd w:id="99"/>
    <w:p>
      <w:pPr>
        <w:jc w:val="both"/>
        <w:ind w:firstLine="633"/>
        <w:spacing w:after="0" w:line="270" w:lineRule="auto"/>
        <w:tabs>
          <w:tab w:leader="none" w:pos="125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the Redemption Price</w:t>
      </w:r>
      <w:r>
        <w:rPr>
          <w:rFonts w:ascii="Times New Roman" w:cs="Times New Roman" w:eastAsia="Times New Roman" w:hAnsi="Times New Roman"/>
          <w:sz w:val="17"/>
          <w:szCs w:val="17"/>
          <w:color w:val="auto"/>
        </w:rPr>
        <w:t>. Without limiting the Company’s obligation to deposit the Redemption Price by the time proscribed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3.01(B)</w:t>
      </w:r>
      <w:r>
        <w:rPr>
          <w:rFonts w:ascii="Times New Roman" w:cs="Times New Roman" w:eastAsia="Times New Roman" w:hAnsi="Times New Roman"/>
          <w:sz w:val="17"/>
          <w:szCs w:val="17"/>
          <w:color w:val="auto"/>
        </w:rPr>
        <w:t>, the Company will cause the Redemption Price for a Note (or portion thereof) subject to Redemption to be paid to the Holder thereof 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before the applicable Redemption Date. For the avoidance of doubt, interest payable pursuant to the proviso to </w:t>
      </w:r>
      <w:r>
        <w:rPr>
          <w:rFonts w:ascii="Times New Roman" w:cs="Times New Roman" w:eastAsia="Times New Roman" w:hAnsi="Times New Roman"/>
          <w:sz w:val="17"/>
          <w:szCs w:val="17"/>
          <w:b w:val="1"/>
          <w:bCs w:val="1"/>
          <w:color w:val="auto"/>
        </w:rPr>
        <w:t>Section 4.03(E)</w:t>
      </w:r>
      <w:r>
        <w:rPr>
          <w:rFonts w:ascii="Times New Roman" w:cs="Times New Roman" w:eastAsia="Times New Roman" w:hAnsi="Times New Roman"/>
          <w:sz w:val="17"/>
          <w:szCs w:val="17"/>
          <w:color w:val="auto"/>
        </w:rPr>
        <w:t xml:space="preserve"> on any Note (or portion thereof) subject to Redemption must be paid pursuant to such proviso.</w:t>
      </w:r>
    </w:p>
    <w:p>
      <w:pPr>
        <w:spacing w:after="0" w:line="167" w:lineRule="exact"/>
        <w:rPr>
          <w:rFonts w:ascii="Times New Roman" w:cs="Times New Roman" w:eastAsia="Times New Roman" w:hAnsi="Times New Roman"/>
          <w:sz w:val="17"/>
          <w:szCs w:val="17"/>
          <w:color w:val="auto"/>
        </w:rPr>
      </w:pPr>
    </w:p>
    <w:p>
      <w:pPr>
        <w:jc w:val="both"/>
        <w:ind w:firstLine="633"/>
        <w:spacing w:after="0" w:line="262" w:lineRule="auto"/>
        <w:tabs>
          <w:tab w:leader="none" w:pos="125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Special Provisions for Partial Calls</w:t>
      </w:r>
      <w:r>
        <w:rPr>
          <w:rFonts w:ascii="Times New Roman" w:cs="Times New Roman" w:eastAsia="Times New Roman" w:hAnsi="Times New Roman"/>
          <w:sz w:val="17"/>
          <w:szCs w:val="17"/>
          <w:color w:val="auto"/>
        </w:rPr>
        <w:t>. If the Company elects to redeem less than all of the outstanding Notes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Holder of any Note, or any owner of a beneficial interest in any Global Note, is reasonably not able to determine, before the Close of Business on the forty-second (42nd) Scheduled Trading Day (or, if, in accordance with </w:t>
      </w:r>
      <w:r>
        <w:rPr>
          <w:rFonts w:ascii="Times New Roman" w:cs="Times New Roman" w:eastAsia="Times New Roman" w:hAnsi="Times New Roman"/>
          <w:sz w:val="17"/>
          <w:szCs w:val="17"/>
          <w:b w:val="1"/>
          <w:bCs w:val="1"/>
          <w:color w:val="auto"/>
        </w:rPr>
        <w:t>Section 5.03(A)(i)(3)</w:t>
      </w:r>
      <w:r>
        <w:rPr>
          <w:rFonts w:ascii="Times New Roman" w:cs="Times New Roman" w:eastAsia="Times New Roman" w:hAnsi="Times New Roman"/>
          <w:sz w:val="17"/>
          <w:szCs w:val="17"/>
          <w:color w:val="auto"/>
        </w:rPr>
        <w:t xml:space="preserve">, the Company has elected to settle all conversions of Notes with a Conversion Date that occurs on or after the Redemption Notice Date for such Redemption and on or before the Business Day immediately before the Redemption Date by Physical Settlement, the tenth (10th)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 purposes of this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CONVERSION</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5.01.</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ight to</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60" w:hanging="627"/>
        <w:spacing w:after="0"/>
        <w:tabs>
          <w:tab w:leader="none" w:pos="12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Subject to the provisions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each Holder may, at its option, convert such Holder’s Notes into Conversion</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w:t>
      </w:r>
    </w:p>
    <w:p>
      <w:pPr>
        <w:spacing w:after="0" w:line="203"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Conversions in Part</w:t>
      </w:r>
      <w:r>
        <w:rPr>
          <w:rFonts w:ascii="Times New Roman" w:cs="Times New Roman" w:eastAsia="Times New Roman" w:hAnsi="Times New Roman"/>
          <w:sz w:val="17"/>
          <w:szCs w:val="17"/>
          <w:color w:val="auto"/>
        </w:rPr>
        <w:t>. Subject to the terms of this Indenture, Notes may be converted in part, but only in Authorized Denominations. Provisions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applying to the conversion of a Note in whole will equally apply to conversions of a permitted portion of a Note.</w:t>
      </w:r>
    </w:p>
    <w:p>
      <w:pPr>
        <w:spacing w:after="0" w:line="142"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When Notes May Be Converted</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640" w:firstLine="621"/>
        <w:spacing w:after="0" w:line="298" w:lineRule="auto"/>
        <w:tabs>
          <w:tab w:leader="none" w:pos="1896"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5.01(C)(ii)</w:t>
      </w:r>
      <w:r>
        <w:rPr>
          <w:rFonts w:ascii="Times New Roman" w:cs="Times New Roman" w:eastAsia="Times New Roman" w:hAnsi="Times New Roman"/>
          <w:sz w:val="17"/>
          <w:szCs w:val="17"/>
          <w:color w:val="auto"/>
        </w:rPr>
        <w:t>, a Holder may convert its Notes at any time from, and including, the Issue Date until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Close of Business on the second (2nd) Scheduled Trading Day immediately before the Maturity Date.</w:t>
      </w:r>
    </w:p>
    <w:p>
      <w:pPr>
        <w:spacing w:after="0" w:line="142"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Limitations and Closed Periods</w:t>
      </w:r>
      <w:r>
        <w:rPr>
          <w:rFonts w:ascii="Times New Roman" w:cs="Times New Roman" w:eastAsia="Times New Roman" w:hAnsi="Times New Roman"/>
          <w:sz w:val="17"/>
          <w:szCs w:val="17"/>
          <w:color w:val="auto"/>
        </w:rPr>
        <w:t>. Notwithstanding anything to the contrary in this Indenture or the Notes:</w:t>
      </w:r>
    </w:p>
    <w:p>
      <w:pPr>
        <w:spacing w:after="0" w:line="225" w:lineRule="exact"/>
        <w:rPr>
          <w:rFonts w:ascii="Times New Roman" w:cs="Times New Roman" w:eastAsia="Times New Roman" w:hAnsi="Times New Roman"/>
          <w:sz w:val="17"/>
          <w:szCs w:val="17"/>
          <w:color w:val="auto"/>
        </w:rPr>
      </w:pPr>
    </w:p>
    <w:p>
      <w:pPr>
        <w:ind w:left="2520" w:hanging="631"/>
        <w:spacing w:after="0"/>
        <w:tabs>
          <w:tab w:leader="none" w:pos="2520"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may be surrendered for conversion only after the Open of Business and before the Close of Business on a day that is a</w:t>
      </w:r>
    </w:p>
    <w:p>
      <w:pPr>
        <w:spacing w:after="0" w:line="31"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 and</w:t>
      </w:r>
    </w:p>
    <w:p>
      <w:pPr>
        <w:spacing w:after="0" w:line="205" w:lineRule="exact"/>
        <w:rPr>
          <w:rFonts w:ascii="Times New Roman" w:cs="Times New Roman" w:eastAsia="Times New Roman" w:hAnsi="Times New Roman"/>
          <w:sz w:val="17"/>
          <w:szCs w:val="17"/>
          <w:color w:val="auto"/>
        </w:rPr>
      </w:pPr>
    </w:p>
    <w:p>
      <w:pPr>
        <w:ind w:left="2520" w:hanging="631"/>
        <w:spacing w:after="0"/>
        <w:tabs>
          <w:tab w:leader="none" w:pos="2520"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may any Note be converted after the Close of Business on the second (2nd) Scheduled Trading Day immediately</w:t>
      </w:r>
    </w:p>
    <w:p>
      <w:pPr>
        <w:spacing w:after="0" w:line="31"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5.02.</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rocedures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40" w:hanging="627"/>
        <w:spacing w:after="0"/>
        <w:tabs>
          <w:tab w:leader="none" w:pos="12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jc w:val="both"/>
        <w:ind w:left="620" w:firstLine="621"/>
        <w:spacing w:after="0" w:line="277" w:lineRule="auto"/>
        <w:tabs>
          <w:tab w:leader="none" w:pos="1876"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To convert a beneficial interest in a Global Note that is convertible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5.01(C)</w:t>
      </w:r>
      <w:r>
        <w:rPr>
          <w:rFonts w:ascii="Times New Roman" w:cs="Times New Roman" w:eastAsia="Times New Roman" w:hAnsi="Times New Roman"/>
          <w:sz w:val="17"/>
          <w:szCs w:val="17"/>
          <w:color w:val="auto"/>
        </w:rPr>
        <w:t>, the owner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beneficial interest must (1) comply with the Depositary Procedures for converting such beneficial interest (at which time such conversion will become irrevocable); and (2) pay any amounts due pursuant to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5.02(E)</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left="620" w:firstLine="621"/>
        <w:spacing w:after="0" w:line="267" w:lineRule="auto"/>
        <w:tabs>
          <w:tab w:leader="none" w:pos="1876"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Physical Notes</w:t>
      </w:r>
      <w:r>
        <w:rPr>
          <w:rFonts w:ascii="Times New Roman" w:cs="Times New Roman" w:eastAsia="Times New Roman" w:hAnsi="Times New Roman"/>
          <w:sz w:val="17"/>
          <w:szCs w:val="17"/>
          <w:color w:val="auto"/>
        </w:rPr>
        <w:t>. To convert all or a portion of a Physical Note that is convertible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5.01(C)</w:t>
      </w:r>
      <w:r>
        <w:rPr>
          <w:rFonts w:ascii="Times New Roman" w:cs="Times New Roman" w:eastAsia="Times New Roman" w:hAnsi="Times New Roman"/>
          <w:sz w:val="17"/>
          <w:szCs w:val="17"/>
          <w:color w:val="auto"/>
        </w:rPr>
        <w:t>, the Holder of such Note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17"/>
          <w:szCs w:val="17"/>
          <w:b w:val="1"/>
          <w:bCs w:val="1"/>
          <w:color w:val="auto"/>
        </w:rPr>
        <w:t xml:space="preserve">Section 5.02(D)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Section 5.02(E)</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jc w:val="both"/>
        <w:ind w:left="-20" w:firstLine="633"/>
        <w:spacing w:after="0" w:line="270"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 of Converting a Note</w:t>
      </w:r>
      <w:r>
        <w:rPr>
          <w:rFonts w:ascii="Times New Roman" w:cs="Times New Roman" w:eastAsia="Times New Roman" w:hAnsi="Times New Roman"/>
          <w:sz w:val="17"/>
          <w:szCs w:val="17"/>
          <w:color w:val="auto"/>
        </w:rPr>
        <w:t>. At the Close of Business on the Conversion Date for a Note (or any portion thereof) to be converted, such Note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such portion) will (unless there occurs a Default in the delivery of the Conversion Consideration or interest due, pursuant to </w:t>
      </w:r>
      <w:r>
        <w:rPr>
          <w:rFonts w:ascii="Times New Roman" w:cs="Times New Roman" w:eastAsia="Times New Roman" w:hAnsi="Times New Roman"/>
          <w:sz w:val="17"/>
          <w:szCs w:val="17"/>
          <w:b w:val="1"/>
          <w:bCs w:val="1"/>
          <w:color w:val="auto"/>
        </w:rPr>
        <w:t>Section 5.03(B)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5.02(D)</w:t>
      </w:r>
      <w:r>
        <w:rPr>
          <w:rFonts w:ascii="Times New Roman" w:cs="Times New Roman" w:eastAsia="Times New Roman" w:hAnsi="Times New Roman"/>
          <w:sz w:val="17"/>
          <w:szCs w:val="17"/>
          <w:color w:val="auto"/>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left="-20" w:firstLine="633"/>
        <w:spacing w:after="0" w:line="277"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Holder of Record of Conversion Shares</w:t>
      </w:r>
      <w:r>
        <w:rPr>
          <w:rFonts w:ascii="Times New Roman" w:cs="Times New Roman" w:eastAsia="Times New Roman" w:hAnsi="Times New Roman"/>
          <w:sz w:val="17"/>
          <w:szCs w:val="17"/>
          <w:color w:val="auto"/>
        </w:rPr>
        <w:t>. The Person in whose name any share of Common Stock is issuable upon conversion of any Note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160" w:lineRule="exact"/>
        <w:rPr>
          <w:rFonts w:ascii="Times New Roman" w:cs="Times New Roman" w:eastAsia="Times New Roman" w:hAnsi="Times New Roman"/>
          <w:sz w:val="17"/>
          <w:szCs w:val="17"/>
          <w:color w:val="auto"/>
        </w:rPr>
      </w:pPr>
    </w:p>
    <w:p>
      <w:pPr>
        <w:jc w:val="both"/>
        <w:ind w:left="-20" w:firstLine="633"/>
        <w:spacing w:after="0" w:line="259"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Interest Payable Upon Conversion in Certain Circumstances</w:t>
      </w:r>
      <w:r>
        <w:rPr>
          <w:rFonts w:ascii="Times New Roman" w:cs="Times New Roman" w:eastAsia="Times New Roman" w:hAnsi="Times New Roman"/>
          <w:sz w:val="17"/>
          <w:szCs w:val="17"/>
          <w:color w:val="auto"/>
        </w:rPr>
        <w:t>. If the Conversion Date of a Note is after a Regular Record Date and before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above;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Holder surrendering such Note for conversion need not deliver such cash (v) if the Company has specified a Redemption Date that is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such Regular Record Date and on or before the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99" w:right="339" w:bottom="1440" w:gutter="0" w:footer="0" w:header="0"/>
        </w:sectPr>
      </w:pPr>
    </w:p>
    <w:bookmarkStart w:id="101" w:name="page102"/>
    <w:bookmarkEnd w:id="101"/>
    <w:p>
      <w:pPr>
        <w:jc w:val="both"/>
        <w:ind w:left="-20" w:firstLine="633"/>
        <w:spacing w:after="0" w:line="270" w:lineRule="auto"/>
        <w:tabs>
          <w:tab w:leader="none" w:pos="123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Taxes and Duties</w:t>
      </w:r>
      <w:r>
        <w:rPr>
          <w:rFonts w:ascii="Times New Roman" w:cs="Times New Roman" w:eastAsia="Times New Roman" w:hAnsi="Times New Roman"/>
          <w:sz w:val="17"/>
          <w:szCs w:val="17"/>
          <w:color w:val="auto"/>
        </w:rPr>
        <w:t>. If a Holder converts a Note, the Company will pay any documentary, stamp or similar issue or transfer tax or duty due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issue or delivery of any shares of Common Stock upon such conversion;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67" w:lineRule="exact"/>
        <w:rPr>
          <w:rFonts w:ascii="Times New Roman" w:cs="Times New Roman" w:eastAsia="Times New Roman" w:hAnsi="Times New Roman"/>
          <w:sz w:val="17"/>
          <w:szCs w:val="17"/>
          <w:color w:val="auto"/>
        </w:rPr>
      </w:pPr>
    </w:p>
    <w:p>
      <w:pPr>
        <w:jc w:val="both"/>
        <w:ind w:left="-20" w:firstLine="633"/>
        <w:spacing w:after="0" w:line="274" w:lineRule="auto"/>
        <w:tabs>
          <w:tab w:leader="none" w:pos="123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Agent to Notify Company of Conversions</w:t>
      </w:r>
      <w:r>
        <w:rPr>
          <w:rFonts w:ascii="Times New Roman" w:cs="Times New Roman" w:eastAsia="Times New Roman" w:hAnsi="Times New Roman"/>
          <w:sz w:val="17"/>
          <w:szCs w:val="17"/>
          <w:color w:val="auto"/>
        </w:rPr>
        <w:t>. If any Note is submitted for conversion to the Conversion Agent or the Conversion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377"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5.03.</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ettlement</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pon</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70" w:lineRule="auto"/>
        <w:tabs>
          <w:tab w:leader="none" w:pos="123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Settlement Method</w:t>
      </w:r>
      <w:r>
        <w:rPr>
          <w:rFonts w:ascii="Times New Roman" w:cs="Times New Roman" w:eastAsia="Times New Roman" w:hAnsi="Times New Roman"/>
          <w:sz w:val="17"/>
          <w:szCs w:val="17"/>
          <w:color w:val="auto"/>
        </w:rPr>
        <w:t>. Upon the conversion of any Note, the Company will settle such conversion by paying or delivering, as applicable and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provided in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either (x) shares of Common Stock, together, if applicable, with cash in lieu of fractional shares as provided in </w:t>
      </w:r>
      <w:r>
        <w:rPr>
          <w:rFonts w:ascii="Times New Roman" w:cs="Times New Roman" w:eastAsia="Times New Roman" w:hAnsi="Times New Roman"/>
          <w:sz w:val="17"/>
          <w:szCs w:val="17"/>
          <w:b w:val="1"/>
          <w:bCs w:val="1"/>
          <w:color w:val="auto"/>
        </w:rPr>
        <w:t>Section 5.03(B)(i)(1)</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Physical Settlement</w:t>
      </w:r>
      <w:r>
        <w:rPr>
          <w:rFonts w:ascii="Times New Roman" w:cs="Times New Roman" w:eastAsia="Times New Roman" w:hAnsi="Times New Roman"/>
          <w:sz w:val="17"/>
          <w:szCs w:val="17"/>
          <w:color w:val="auto"/>
        </w:rPr>
        <w:t xml:space="preserve">”); (y) solely cash as provided in </w:t>
      </w:r>
      <w:r>
        <w:rPr>
          <w:rFonts w:ascii="Times New Roman" w:cs="Times New Roman" w:eastAsia="Times New Roman" w:hAnsi="Times New Roman"/>
          <w:sz w:val="17"/>
          <w:szCs w:val="17"/>
          <w:b w:val="1"/>
          <w:bCs w:val="1"/>
          <w:color w:val="auto"/>
        </w:rPr>
        <w:t>Section 5.03(B)(i)(2)</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Cash Settlement</w:t>
      </w:r>
      <w:r>
        <w:rPr>
          <w:rFonts w:ascii="Times New Roman" w:cs="Times New Roman" w:eastAsia="Times New Roman" w:hAnsi="Times New Roman"/>
          <w:sz w:val="17"/>
          <w:szCs w:val="17"/>
          <w:color w:val="auto"/>
        </w:rPr>
        <w:t xml:space="preserve">”); or (z) a combination of cash and shares of Common Stock, together, if applicable, with cash in lieu of fractional shares as provided in </w:t>
      </w:r>
      <w:r>
        <w:rPr>
          <w:rFonts w:ascii="Times New Roman" w:cs="Times New Roman" w:eastAsia="Times New Roman" w:hAnsi="Times New Roman"/>
          <w:sz w:val="17"/>
          <w:szCs w:val="17"/>
          <w:b w:val="1"/>
          <w:bCs w:val="1"/>
          <w:color w:val="auto"/>
        </w:rPr>
        <w:t>Section 5.03(B)(i)(3)</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Combination Settlement</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620" w:firstLine="621"/>
        <w:spacing w:after="0" w:line="298" w:lineRule="auto"/>
        <w:tabs>
          <w:tab w:leader="none" w:pos="1876"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Company’s Right to Elect Settlement Method</w:t>
      </w:r>
      <w:r>
        <w:rPr>
          <w:rFonts w:ascii="Times New Roman" w:cs="Times New Roman" w:eastAsia="Times New Roman" w:hAnsi="Times New Roman"/>
          <w:sz w:val="17"/>
          <w:szCs w:val="17"/>
          <w:color w:val="auto"/>
        </w:rPr>
        <w:t>. The Company will have the right to elect the Settlement Method applicable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conversion of a Note;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w:t>
      </w:r>
    </w:p>
    <w:p>
      <w:pPr>
        <w:spacing w:after="0" w:line="144" w:lineRule="exact"/>
        <w:rPr>
          <w:rFonts w:ascii="Times New Roman" w:cs="Times New Roman" w:eastAsia="Times New Roman" w:hAnsi="Times New Roman"/>
          <w:sz w:val="17"/>
          <w:szCs w:val="17"/>
          <w:color w:val="auto"/>
        </w:rPr>
      </w:pPr>
    </w:p>
    <w:p>
      <w:pPr>
        <w:ind w:left="620" w:firstLine="1249"/>
        <w:spacing w:after="0" w:line="296" w:lineRule="auto"/>
        <w:tabs>
          <w:tab w:leader="none" w:pos="2504" w:val="left"/>
        </w:tabs>
        <w:numPr>
          <w:ilvl w:val="2"/>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send notice of such Settlement Method to the Holder of such Note, with a copy to the Trustee and the Conversion Agent no later than the Close of Business on the Business Day immediately after such Conversion Date;</w:t>
      </w:r>
    </w:p>
    <w:p>
      <w:pPr>
        <w:spacing w:after="0" w:line="145" w:lineRule="exact"/>
        <w:rPr>
          <w:rFonts w:ascii="Times New Roman" w:cs="Times New Roman" w:eastAsia="Times New Roman" w:hAnsi="Times New Roman"/>
          <w:sz w:val="17"/>
          <w:szCs w:val="17"/>
          <w:color w:val="auto"/>
        </w:rPr>
      </w:pPr>
    </w:p>
    <w:p>
      <w:pPr>
        <w:ind w:left="2500" w:hanging="631"/>
        <w:spacing w:after="0"/>
        <w:tabs>
          <w:tab w:leader="none" w:pos="2500" w:val="left"/>
        </w:tabs>
        <w:numPr>
          <w:ilvl w:val="2"/>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use the same Settlement Method for all conversions of Notes with the same Conversion Date;</w:t>
      </w:r>
    </w:p>
    <w:p>
      <w:pPr>
        <w:spacing w:after="0" w:line="223" w:lineRule="exact"/>
        <w:rPr>
          <w:rFonts w:ascii="Times New Roman" w:cs="Times New Roman" w:eastAsia="Times New Roman" w:hAnsi="Times New Roman"/>
          <w:sz w:val="17"/>
          <w:szCs w:val="17"/>
          <w:color w:val="auto"/>
        </w:rPr>
      </w:pPr>
    </w:p>
    <w:p>
      <w:pPr>
        <w:jc w:val="both"/>
        <w:ind w:left="620" w:firstLine="1249"/>
        <w:spacing w:after="0" w:line="276" w:lineRule="auto"/>
        <w:tabs>
          <w:tab w:leader="none" w:pos="2504" w:val="left"/>
        </w:tabs>
        <w:numPr>
          <w:ilvl w:val="2"/>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162" w:lineRule="exact"/>
        <w:rPr>
          <w:rFonts w:ascii="Times New Roman" w:cs="Times New Roman" w:eastAsia="Times New Roman" w:hAnsi="Times New Roman"/>
          <w:sz w:val="17"/>
          <w:szCs w:val="17"/>
          <w:color w:val="auto"/>
        </w:rPr>
      </w:pPr>
    </w:p>
    <w:p>
      <w:pPr>
        <w:jc w:val="both"/>
        <w:ind w:left="620" w:firstLine="1249"/>
        <w:spacing w:after="0" w:line="270" w:lineRule="auto"/>
        <w:tabs>
          <w:tab w:leader="none" w:pos="2504" w:val="left"/>
        </w:tabs>
        <w:numPr>
          <w:ilvl w:val="2"/>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timely elects Combination Settlement with respect to the conversion of a Note but does not timely notify the Holder of such Note of the applicable Specified Dollar Amount, with a copy to the Trustee and the Conversion Agent,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67" w:lineRule="exact"/>
        <w:rPr>
          <w:rFonts w:ascii="Times New Roman" w:cs="Times New Roman" w:eastAsia="Times New Roman" w:hAnsi="Times New Roman"/>
          <w:sz w:val="17"/>
          <w:szCs w:val="17"/>
          <w:color w:val="auto"/>
        </w:rPr>
      </w:pPr>
    </w:p>
    <w:p>
      <w:pPr>
        <w:jc w:val="both"/>
        <w:ind w:left="620" w:firstLine="1249"/>
        <w:spacing w:after="0" w:line="270" w:lineRule="auto"/>
        <w:tabs>
          <w:tab w:leader="none" w:pos="2504" w:val="left"/>
        </w:tabs>
        <w:numPr>
          <w:ilvl w:val="2"/>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or any other provision of this Indenture to the contrary, without the consent of the Holder, the Company shall deliver Conversion Consideration solely by means of Cash Settlement, and shall not elect Physical Settlement or Combination Settlement, unless the Conversion Shares so issued in respect of Physical Settlement or Combination Settlement are immediately Freely Tradable upon issuance and the Company is currently in compliance with its SEC filing obligations under Rule 144(i).</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02" w:name="page103"/>
    <w:bookmarkEnd w:id="102"/>
    <w:p>
      <w:pPr>
        <w:ind w:left="627" w:hanging="627"/>
        <w:spacing w:after="0"/>
        <w:tabs>
          <w:tab w:leader="none" w:pos="627"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Consideration</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7" w:firstLine="621"/>
        <w:spacing w:after="0" w:line="298" w:lineRule="auto"/>
        <w:tabs>
          <w:tab w:leader="none" w:pos="1263"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Sections 5.03(B)(ii)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5.03(B)(iii)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5.09(A)(2)</w:t>
      </w:r>
      <w:r>
        <w:rPr>
          <w:rFonts w:ascii="Times New Roman" w:cs="Times New Roman" w:eastAsia="Times New Roman" w:hAnsi="Times New Roman"/>
          <w:sz w:val="17"/>
          <w:szCs w:val="17"/>
          <w:color w:val="auto"/>
        </w:rPr>
        <w:t>, the type and amount of consideration (the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Consideration</w:t>
      </w:r>
      <w:r>
        <w:rPr>
          <w:rFonts w:ascii="Times New Roman" w:cs="Times New Roman" w:eastAsia="Times New Roman" w:hAnsi="Times New Roman"/>
          <w:sz w:val="17"/>
          <w:szCs w:val="17"/>
          <w:color w:val="auto"/>
        </w:rPr>
        <w:t>”) due in respect of each $1,000 principal amount of a Note to be converted will be as follows:</w:t>
      </w:r>
    </w:p>
    <w:p>
      <w:pPr>
        <w:spacing w:after="0" w:line="144"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Physical Settlement applies to such conversion, a number of shares of Common Stock equal to the Conversion Rate in effect on the Conversion Date for such conversion;</w:t>
      </w:r>
    </w:p>
    <w:p>
      <w:pPr>
        <w:spacing w:after="0" w:line="145"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Cash Settlement applies to such conversion, cash in an amount equal to the sum of the Daily Conversion Values for each VWAP Trading Day in the Observation Period for such conversion; or</w:t>
      </w:r>
    </w:p>
    <w:p>
      <w:pPr>
        <w:spacing w:after="0" w:line="145" w:lineRule="exact"/>
        <w:rPr>
          <w:rFonts w:ascii="Times New Roman" w:cs="Times New Roman" w:eastAsia="Times New Roman" w:hAnsi="Times New Roman"/>
          <w:sz w:val="17"/>
          <w:szCs w:val="17"/>
          <w:color w:val="auto"/>
        </w:rPr>
      </w:pPr>
    </w:p>
    <w:p>
      <w:pPr>
        <w:jc w:val="both"/>
        <w:ind w:left="7" w:firstLine="1249"/>
        <w:spacing w:after="0" w:line="276" w:lineRule="auto"/>
        <w:tabs>
          <w:tab w:leader="none" w:pos="1891"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60" w:lineRule="exact"/>
        <w:rPr>
          <w:rFonts w:ascii="Times New Roman" w:cs="Times New Roman" w:eastAsia="Times New Roman" w:hAnsi="Times New Roman"/>
          <w:sz w:val="17"/>
          <w:szCs w:val="17"/>
          <w:color w:val="auto"/>
        </w:rPr>
      </w:pPr>
    </w:p>
    <w:p>
      <w:pPr>
        <w:jc w:val="both"/>
        <w:ind w:left="7" w:firstLine="621"/>
        <w:spacing w:after="0" w:line="264" w:lineRule="auto"/>
        <w:tabs>
          <w:tab w:leader="none" w:pos="1263"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in Lieu of Fractional Shares</w:t>
      </w:r>
      <w:r>
        <w:rPr>
          <w:rFonts w:ascii="Times New Roman" w:cs="Times New Roman" w:eastAsia="Times New Roman" w:hAnsi="Times New Roman"/>
          <w:sz w:val="17"/>
          <w:szCs w:val="17"/>
          <w:color w:val="auto"/>
        </w:rPr>
        <w:t>. If Physical Settlement or Combination Settlement applies to the conversion of any Note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number of shares of Common Stock deliverable pursuant to </w:t>
      </w:r>
      <w:r>
        <w:rPr>
          <w:rFonts w:ascii="Times New Roman" w:cs="Times New Roman" w:eastAsia="Times New Roman" w:hAnsi="Times New Roman"/>
          <w:sz w:val="17"/>
          <w:szCs w:val="17"/>
          <w:b w:val="1"/>
          <w:bCs w:val="1"/>
          <w:color w:val="auto"/>
        </w:rPr>
        <w:t>Section 5.03(B)(i)</w:t>
      </w:r>
      <w:r>
        <w:rPr>
          <w:rFonts w:ascii="Times New Roman" w:cs="Times New Roman" w:eastAsia="Times New Roman" w:hAnsi="Times New Roman"/>
          <w:sz w:val="17"/>
          <w:szCs w:val="17"/>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384" w:lineRule="exact"/>
        <w:rPr>
          <w:rFonts w:ascii="Times New Roman" w:cs="Times New Roman" w:eastAsia="Times New Roman" w:hAnsi="Times New Roman"/>
          <w:sz w:val="17"/>
          <w:szCs w:val="17"/>
          <w:color w:val="auto"/>
        </w:rPr>
      </w:pPr>
    </w:p>
    <w:p>
      <w:pPr>
        <w:jc w:val="both"/>
        <w:ind w:left="7" w:firstLine="621"/>
        <w:spacing w:after="0" w:line="277" w:lineRule="auto"/>
        <w:tabs>
          <w:tab w:leader="none" w:pos="1263"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of Multiple Notes by a Single Holder</w:t>
      </w:r>
      <w:r>
        <w:rPr>
          <w:rFonts w:ascii="Times New Roman" w:cs="Times New Roman" w:eastAsia="Times New Roman" w:hAnsi="Times New Roman"/>
          <w:sz w:val="17"/>
          <w:szCs w:val="17"/>
          <w:color w:val="auto"/>
        </w:rPr>
        <w:t>. If a Holder converts more than one (1) Note on a single Conversion Date, then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60" w:lineRule="exact"/>
        <w:rPr>
          <w:rFonts w:ascii="Times New Roman" w:cs="Times New Roman" w:eastAsia="Times New Roman" w:hAnsi="Times New Roman"/>
          <w:sz w:val="17"/>
          <w:szCs w:val="17"/>
          <w:color w:val="auto"/>
        </w:rPr>
      </w:pPr>
    </w:p>
    <w:p>
      <w:pPr>
        <w:jc w:val="both"/>
        <w:ind w:left="7" w:firstLine="621"/>
        <w:spacing w:after="0" w:line="270" w:lineRule="auto"/>
        <w:tabs>
          <w:tab w:leader="none" w:pos="1263"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Calculation of Conversion Consideration</w:t>
      </w:r>
      <w:r>
        <w:rPr>
          <w:rFonts w:ascii="Times New Roman" w:cs="Times New Roman" w:eastAsia="Times New Roman" w:hAnsi="Times New Roman"/>
          <w:sz w:val="17"/>
          <w:szCs w:val="17"/>
          <w:color w:val="auto"/>
        </w:rPr>
        <w:t>. If Cash Settlement or Combination Settlement applies to the conversion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73" w:right="339" w:bottom="1440" w:gutter="0" w:footer="0" w:header="0"/>
        </w:sectPr>
      </w:pPr>
    </w:p>
    <w:bookmarkStart w:id="103" w:name="page104"/>
    <w:bookmarkEnd w:id="103"/>
    <w:p>
      <w:pPr>
        <w:jc w:val="both"/>
        <w:ind w:left="-20" w:firstLine="633"/>
        <w:spacing w:after="0" w:line="270" w:lineRule="auto"/>
        <w:tabs>
          <w:tab w:leader="none" w:pos="123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the Conversion Consideration</w:t>
      </w:r>
      <w:r>
        <w:rPr>
          <w:rFonts w:ascii="Times New Roman" w:cs="Times New Roman" w:eastAsia="Times New Roman" w:hAnsi="Times New Roman"/>
          <w:sz w:val="17"/>
          <w:szCs w:val="17"/>
          <w:color w:val="auto"/>
        </w:rPr>
        <w:t>. Except as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Sections 5.05(D)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5.09</w:t>
      </w:r>
      <w:r>
        <w:rPr>
          <w:rFonts w:ascii="Times New Roman" w:cs="Times New Roman" w:eastAsia="Times New Roman" w:hAnsi="Times New Roman"/>
          <w:sz w:val="17"/>
          <w:szCs w:val="17"/>
          <w:color w:val="auto"/>
        </w:rPr>
        <w:t>, the Company will pay or deliver, as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Conversion Consideration due upon the conversion of any Note to the Holder as follows: (i) if Cash Settlement or Combination Settlement applies to such conversion, on the second (2nd) Business Day immediately after the last VWAP Trading Day of the Observation Period for such conversion; and (ii) if Physical Settlement applies to such conversion, on the second (2nd) Business Day immediately after the Conversion Date for such conversion.</w:t>
      </w:r>
    </w:p>
    <w:p>
      <w:pPr>
        <w:spacing w:after="0" w:line="167" w:lineRule="exact"/>
        <w:rPr>
          <w:rFonts w:ascii="Times New Roman" w:cs="Times New Roman" w:eastAsia="Times New Roman" w:hAnsi="Times New Roman"/>
          <w:sz w:val="17"/>
          <w:szCs w:val="17"/>
          <w:color w:val="auto"/>
        </w:rPr>
      </w:pPr>
    </w:p>
    <w:p>
      <w:pPr>
        <w:jc w:val="both"/>
        <w:ind w:left="-20" w:firstLine="633"/>
        <w:spacing w:after="0" w:line="263" w:lineRule="auto"/>
        <w:tabs>
          <w:tab w:leader="none" w:pos="123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Deemed Payment of Principal and Interest; Settlement of Accrued Interest Notwithstanding Conversion</w:t>
      </w:r>
      <w:r>
        <w:rPr>
          <w:rFonts w:ascii="Times New Roman" w:cs="Times New Roman" w:eastAsia="Times New Roman" w:hAnsi="Times New Roman"/>
          <w:sz w:val="17"/>
          <w:szCs w:val="17"/>
          <w:color w:val="auto"/>
        </w:rPr>
        <w:t>. If a Holder converts a Note, then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will not adjust the Conversion Rate to account for any accrued and unpaid interest on such Note, and, except as provided in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 any accrued and unpaid interest on a converted Note will be deemed to be paid in full rather than cancelled, extinguished or forfeited.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addition, subject to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 if the Conversion Consideration for a Note consists of both cash and shares of Common Stock, then accrued and unpaid interest that is deemed to be paid therewith will be deemed to be paid first out of such cash.</w:t>
      </w:r>
    </w:p>
    <w:p>
      <w:pPr>
        <w:spacing w:after="0" w:line="201"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5.04.</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eserve and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tatus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ssued</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pon</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67" w:lineRule="auto"/>
        <w:tabs>
          <w:tab w:leader="none" w:pos="12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 Reserve</w:t>
      </w:r>
      <w:r>
        <w:rPr>
          <w:rFonts w:ascii="Times New Roman" w:cs="Times New Roman" w:eastAsia="Times New Roman" w:hAnsi="Times New Roman"/>
          <w:sz w:val="17"/>
          <w:szCs w:val="17"/>
          <w:color w:val="auto"/>
        </w:rPr>
        <w:t>. At all times when any Notes are outstanding, the Company will reserve (out of its authorized and not outstanding but unissued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shares of Common Stock that are not reserved for other purposes) a number of shares of Common Stock sufficient to permit the conversion of all then-outstanding Notes, assuming (x) Physical Settlement will apply to such conversion; and (y) the Conversion Rate is 349.6503, as may be adjusted pursuant to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To the extent the Company delivers shares of Common Stock held in its treasury in settlement of the conversion of any Notes, each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this Indenture or the Notes to the issuance of shares of Common Stock in connection therewith will be deemed to include such delivery,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jc w:val="both"/>
        <w:ind w:left="-20" w:firstLine="633"/>
        <w:spacing w:after="0" w:line="265" w:lineRule="auto"/>
        <w:tabs>
          <w:tab w:leader="none" w:pos="12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Status of Conversion Shares; Listing</w:t>
      </w:r>
      <w:r>
        <w:rPr>
          <w:rFonts w:ascii="Times New Roman" w:cs="Times New Roman" w:eastAsia="Times New Roman" w:hAnsi="Times New Roman"/>
          <w:sz w:val="17"/>
          <w:szCs w:val="17"/>
          <w:color w:val="auto"/>
        </w:rPr>
        <w:t>. Each Conversion Share, if any, delivered upon conversion of any Note will be a newly issued or treasury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share (except that any Conversion Share delivered by a designated financial institution pursuant to </w:t>
      </w:r>
      <w:r>
        <w:rPr>
          <w:rFonts w:ascii="Times New Roman" w:cs="Times New Roman" w:eastAsia="Times New Roman" w:hAnsi="Times New Roman"/>
          <w:sz w:val="17"/>
          <w:szCs w:val="17"/>
          <w:b w:val="1"/>
          <w:bCs w:val="1"/>
          <w:color w:val="auto"/>
        </w:rPr>
        <w:t>Section 5.08</w:t>
      </w:r>
      <w:r>
        <w:rPr>
          <w:rFonts w:ascii="Times New Roman" w:cs="Times New Roman" w:eastAsia="Times New Roman" w:hAnsi="Times New Roman"/>
          <w:sz w:val="17"/>
          <w:szCs w:val="17"/>
          <w:color w:val="auto"/>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04" w:name="page105"/>
    <w:bookmarkEnd w:id="104"/>
    <w:p>
      <w:pPr>
        <w:ind w:left="7"/>
        <w:spacing w:after="0"/>
        <w:tabs>
          <w:tab w:leader="none" w:pos="1547"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5.05.</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djustments to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27" w:hanging="627"/>
        <w:spacing w:after="0"/>
        <w:tabs>
          <w:tab w:leader="none" w:pos="627"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Events Requiring an Adjustment to the Conversion Rate</w:t>
      </w:r>
      <w:r>
        <w:rPr>
          <w:rFonts w:ascii="Times New Roman" w:cs="Times New Roman" w:eastAsia="Times New Roman" w:hAnsi="Times New Roman"/>
          <w:sz w:val="17"/>
          <w:szCs w:val="17"/>
          <w:color w:val="auto"/>
        </w:rPr>
        <w:t>. The Conversion Rate will be adjusted from time to time as follows:</w:t>
      </w:r>
    </w:p>
    <w:p>
      <w:pPr>
        <w:spacing w:after="0" w:line="223" w:lineRule="exact"/>
        <w:rPr>
          <w:rFonts w:ascii="Times New Roman" w:cs="Times New Roman" w:eastAsia="Times New Roman" w:hAnsi="Times New Roman"/>
          <w:sz w:val="17"/>
          <w:szCs w:val="17"/>
          <w:color w:val="auto"/>
        </w:rPr>
      </w:pPr>
    </w:p>
    <w:p>
      <w:pPr>
        <w:jc w:val="both"/>
        <w:ind w:left="7" w:firstLine="621"/>
        <w:spacing w:after="0" w:line="270" w:lineRule="auto"/>
        <w:tabs>
          <w:tab w:leader="none" w:pos="126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 Dividends, Splits and Combinations</w:t>
      </w:r>
      <w:r>
        <w:rPr>
          <w:rFonts w:ascii="Times New Roman" w:cs="Times New Roman" w:eastAsia="Times New Roman" w:hAnsi="Times New Roman"/>
          <w:sz w:val="17"/>
          <w:szCs w:val="17"/>
          <w:color w:val="auto"/>
        </w:rPr>
        <w:t>. If the Company issues solely shares of Common Stock as a dividend or distribution on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118745</wp:posOffset>
            </wp:positionV>
            <wp:extent cx="972185" cy="390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7218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7"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where:</w:t>
            </w:r>
          </w:p>
        </w:tc>
        <w:tc>
          <w:tcPr>
            <w:tcW w:w="440" w:type="dxa"/>
            <w:vAlign w:val="bottom"/>
          </w:tcPr>
          <w:p>
            <w:pPr>
              <w:spacing w:after="0"/>
              <w:rPr>
                <w:sz w:val="19"/>
                <w:szCs w:val="19"/>
                <w:color w:val="auto"/>
              </w:rPr>
            </w:pPr>
          </w:p>
        </w:tc>
        <w:tc>
          <w:tcPr>
            <w:tcW w:w="9620" w:type="dxa"/>
            <w:vAlign w:val="bottom"/>
          </w:tcPr>
          <w:p>
            <w:pPr>
              <w:spacing w:after="0"/>
              <w:rPr>
                <w:sz w:val="19"/>
                <w:szCs w:val="19"/>
                <w:color w:val="auto"/>
              </w:rPr>
            </w:pPr>
          </w:p>
        </w:tc>
      </w:tr>
      <w:tr>
        <w:trPr>
          <w:trHeight w:val="406"/>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before the Open of Business on the Ex-Dividend Date for such dividend or distribution, or</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immediately before the Open of Business on the effective date of such stock split or stock combination, as applicable;</w:t>
            </w:r>
          </w:p>
        </w:tc>
      </w:tr>
      <w:tr>
        <w:trPr>
          <w:trHeight w:val="445"/>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after the Open of Business on such Ex-Dividend Date or effective date, as applicable;</w:t>
            </w:r>
          </w:p>
        </w:tc>
      </w:tr>
      <w:tr>
        <w:trPr>
          <w:trHeight w:val="388"/>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before the Open of Business on such Ex-Dividend Date or effective</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date, as applicable, without giving effect to such dividend, distribution, stock split or stock combination; and</w:t>
            </w:r>
          </w:p>
        </w:tc>
      </w:tr>
      <w:tr>
        <w:trPr>
          <w:trHeight w:val="401"/>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after giving effect to such dividend, distribution, stock split or stock</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combination.</w:t>
            </w:r>
          </w:p>
        </w:tc>
      </w:tr>
    </w:tbl>
    <w:p>
      <w:pPr>
        <w:spacing w:after="0" w:line="184"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7"/>
          <w:szCs w:val="17"/>
          <w:color w:val="auto"/>
        </w:rPr>
        <w:t xml:space="preserve">If any dividend, distribution, stock split or stock combination of the type described in this </w:t>
      </w:r>
      <w:r>
        <w:rPr>
          <w:rFonts w:ascii="Times New Roman" w:cs="Times New Roman" w:eastAsia="Times New Roman" w:hAnsi="Times New Roman"/>
          <w:sz w:val="17"/>
          <w:szCs w:val="17"/>
          <w:b w:val="1"/>
          <w:bCs w:val="1"/>
          <w:color w:val="auto"/>
        </w:rPr>
        <w:t>Section 5.05(A)(i)</w:t>
      </w:r>
      <w:r>
        <w:rPr>
          <w:rFonts w:ascii="Times New Roman" w:cs="Times New Roman" w:eastAsia="Times New Roman" w:hAnsi="Times New Roman"/>
          <w:sz w:val="17"/>
          <w:szCs w:val="17"/>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99" w:right="339" w:bottom="1440" w:gutter="0" w:footer="0" w:header="0"/>
        </w:sectPr>
      </w:pPr>
    </w:p>
    <w:bookmarkStart w:id="105" w:name="page106"/>
    <w:bookmarkEnd w:id="105"/>
    <w:p>
      <w:pPr>
        <w:jc w:val="both"/>
        <w:ind w:left="7" w:firstLine="621"/>
        <w:spacing w:after="0" w:line="265" w:lineRule="auto"/>
        <w:tabs>
          <w:tab w:leader="none" w:pos="126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Rights, Options and Warrants</w:t>
      </w:r>
      <w:r>
        <w:rPr>
          <w:rFonts w:ascii="Times New Roman" w:cs="Times New Roman" w:eastAsia="Times New Roman" w:hAnsi="Times New Roman"/>
          <w:sz w:val="17"/>
          <w:szCs w:val="17"/>
          <w:color w:val="auto"/>
        </w:rPr>
        <w:t>. If the Company distributes, to all or substantially all holders of Common Stock, rights, options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warrants (other than rights issued or otherwise distributed pursuant to a stockholder rights plan, as to which </w:t>
      </w:r>
      <w:r>
        <w:rPr>
          <w:rFonts w:ascii="Times New Roman" w:cs="Times New Roman" w:eastAsia="Times New Roman" w:hAnsi="Times New Roman"/>
          <w:sz w:val="17"/>
          <w:szCs w:val="17"/>
          <w:b w:val="1"/>
          <w:bCs w:val="1"/>
          <w:color w:val="auto"/>
        </w:rPr>
        <w:t>Sections 5.05(A)(iii)(1)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5.05(F)</w:t>
      </w:r>
      <w:r>
        <w:rPr>
          <w:rFonts w:ascii="Times New Roman" w:cs="Times New Roman" w:eastAsia="Times New Roman" w:hAnsi="Times New Roman"/>
          <w:sz w:val="17"/>
          <w:szCs w:val="17"/>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121285</wp:posOffset>
            </wp:positionV>
            <wp:extent cx="1121410" cy="3492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21410"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7"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where:</w:t>
            </w:r>
          </w:p>
        </w:tc>
        <w:tc>
          <w:tcPr>
            <w:tcW w:w="440" w:type="dxa"/>
            <w:vAlign w:val="bottom"/>
          </w:tcPr>
          <w:p>
            <w:pPr>
              <w:spacing w:after="0"/>
              <w:rPr>
                <w:sz w:val="19"/>
                <w:szCs w:val="19"/>
                <w:color w:val="auto"/>
              </w:rPr>
            </w:pPr>
          </w:p>
        </w:tc>
        <w:tc>
          <w:tcPr>
            <w:tcW w:w="8780" w:type="dxa"/>
            <w:vAlign w:val="bottom"/>
          </w:tcPr>
          <w:p>
            <w:pPr>
              <w:spacing w:after="0"/>
              <w:rPr>
                <w:sz w:val="19"/>
                <w:szCs w:val="19"/>
                <w:color w:val="auto"/>
              </w:rPr>
            </w:pPr>
          </w:p>
        </w:tc>
      </w:tr>
      <w:tr>
        <w:trPr>
          <w:trHeight w:val="450"/>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before the Open of Business on the Ex-Dividend Date for such distribution;</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after the Open of Business on such Ex-Dividend Date;</w:t>
            </w:r>
          </w:p>
        </w:tc>
      </w:tr>
      <w:tr>
        <w:trPr>
          <w:trHeight w:val="401"/>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OS</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before the Open of Business on such Ex-Dividend Date;</w:t>
            </w:r>
          </w:p>
        </w:tc>
      </w:tr>
    </w:tbl>
    <w:p>
      <w:pPr>
        <w:spacing w:after="0" w:line="217" w:lineRule="exact"/>
        <w:rPr>
          <w:sz w:val="20"/>
          <w:szCs w:val="20"/>
          <w:color w:val="auto"/>
        </w:rPr>
      </w:pPr>
    </w:p>
    <w:p>
      <w:pPr>
        <w:ind w:left="627" w:hanging="627"/>
        <w:spacing w:after="0"/>
        <w:tabs>
          <w:tab w:leader="none" w:pos="627" w:val="left"/>
        </w:tabs>
        <w:numPr>
          <w:ilvl w:val="0"/>
          <w:numId w:val="10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total number of shares of Common Stock issuable pursuant to such rights, options or warrants; and</w:t>
      </w:r>
    </w:p>
    <w:p>
      <w:pPr>
        <w:spacing w:after="0" w:line="249" w:lineRule="exact"/>
        <w:rPr>
          <w:sz w:val="20"/>
          <w:szCs w:val="20"/>
          <w:color w:val="auto"/>
        </w:rPr>
      </w:pPr>
    </w:p>
    <w:p>
      <w:pPr>
        <w:ind w:left="1247" w:hanging="1247"/>
        <w:spacing w:after="0" w:line="276" w:lineRule="auto"/>
        <w:tabs>
          <w:tab w:leader="none" w:pos="619"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63" w:lineRule="exact"/>
        <w:rPr>
          <w:sz w:val="20"/>
          <w:szCs w:val="20"/>
          <w:color w:val="auto"/>
        </w:rPr>
      </w:pPr>
    </w:p>
    <w:p>
      <w:pPr>
        <w:jc w:val="both"/>
        <w:ind w:left="7"/>
        <w:spacing w:after="0" w:line="264" w:lineRule="auto"/>
        <w:rPr>
          <w:sz w:val="20"/>
          <w:szCs w:val="20"/>
          <w:color w:val="auto"/>
        </w:rPr>
      </w:pPr>
      <w:r>
        <w:rPr>
          <w:rFonts w:ascii="Times New Roman" w:cs="Times New Roman" w:eastAsia="Times New Roman" w:hAnsi="Times New Roman"/>
          <w:sz w:val="17"/>
          <w:szCs w:val="17"/>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73" w:right="339" w:bottom="1440" w:gutter="0" w:footer="0" w:header="0"/>
        </w:sectPr>
      </w:pPr>
    </w:p>
    <w:bookmarkStart w:id="106" w:name="page107"/>
    <w:bookmarkEnd w:id="106"/>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b w:val="1"/>
          <w:bCs w:val="1"/>
          <w:color w:val="auto"/>
        </w:rPr>
        <w:t>Section 5.05(A)(ii)</w:t>
      </w:r>
      <w:r>
        <w:rPr>
          <w:rFonts w:ascii="Times New Roman" w:cs="Times New Roman" w:eastAsia="Times New Roman" w:hAnsi="Times New Roman"/>
          <w:sz w:val="17"/>
          <w:szCs w:val="17"/>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spacing w:after="0" w:line="170" w:lineRule="exact"/>
        <w:rPr>
          <w:sz w:val="20"/>
          <w:szCs w:val="20"/>
          <w:color w:val="auto"/>
        </w:rPr>
      </w:pPr>
    </w:p>
    <w:p>
      <w:pPr>
        <w:ind w:left="1240" w:hanging="619"/>
        <w:spacing w:after="0"/>
        <w:tabs>
          <w:tab w:leader="none" w:pos="12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Spin-Offs and Other Distributed Property</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jc w:val="both"/>
        <w:ind w:firstLine="1249"/>
        <w:spacing w:after="0" w:line="277" w:lineRule="auto"/>
        <w:tabs>
          <w:tab w:leader="none" w:pos="1884"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Distributions Other than Spin-Offs</w:t>
      </w:r>
      <w:r>
        <w:rPr>
          <w:rFonts w:ascii="Times New Roman" w:cs="Times New Roman" w:eastAsia="Times New Roman" w:hAnsi="Times New Roman"/>
          <w:sz w:val="17"/>
          <w:szCs w:val="17"/>
          <w:color w:val="auto"/>
        </w:rPr>
        <w:t>. If the Company distributes shares of its Capital Stock, evidences of its indebtedness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assets or property of the Company, or rights, options or warrants to acquire Capital Stock of the Company or other securities, to all or substantially all holders of the Common Stock, excluding:</w:t>
      </w:r>
    </w:p>
    <w:p>
      <w:pPr>
        <w:spacing w:after="0" w:line="371" w:lineRule="exact"/>
        <w:rPr>
          <w:rFonts w:ascii="Times New Roman" w:cs="Times New Roman" w:eastAsia="Times New Roman" w:hAnsi="Times New Roman"/>
          <w:sz w:val="17"/>
          <w:szCs w:val="17"/>
          <w:color w:val="auto"/>
        </w:rPr>
      </w:pPr>
    </w:p>
    <w:p>
      <w:pPr>
        <w:ind w:left="1240" w:firstLine="637"/>
        <w:spacing w:after="0" w:line="296" w:lineRule="auto"/>
        <w:tabs>
          <w:tab w:leader="none" w:pos="2496"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17"/>
          <w:szCs w:val="17"/>
          <w:b w:val="1"/>
          <w:bCs w:val="1"/>
          <w:color w:val="auto"/>
        </w:rPr>
        <w:t>Section 5.05(C)</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b w:val="1"/>
          <w:bCs w:val="1"/>
          <w:color w:val="auto"/>
        </w:rPr>
        <w:t>Section 5.05(A)(i)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5.05(A)(ii)</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1240" w:firstLine="637"/>
        <w:spacing w:after="0" w:line="296" w:lineRule="auto"/>
        <w:tabs>
          <w:tab w:leader="none" w:pos="2496"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dividends or distributions paid exclusively in cash for which an adjustment to the Conversion Rate is required (or would be required without regard to </w:t>
      </w:r>
      <w:r>
        <w:rPr>
          <w:rFonts w:ascii="Times New Roman" w:cs="Times New Roman" w:eastAsia="Times New Roman" w:hAnsi="Times New Roman"/>
          <w:sz w:val="17"/>
          <w:szCs w:val="17"/>
          <w:b w:val="1"/>
          <w:bCs w:val="1"/>
          <w:color w:val="auto"/>
        </w:rPr>
        <w:t>Section 5.05(C)</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b w:val="1"/>
          <w:bCs w:val="1"/>
          <w:color w:val="auto"/>
        </w:rPr>
        <w:t>Section 5.05(A)(iv)</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issued or otherwise distributed pursuant to a stockholder rights plan, except to the extent provided in</w:t>
      </w:r>
    </w:p>
    <w:p>
      <w:pPr>
        <w:spacing w:after="0" w:line="31"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5.05(F)</w:t>
      </w:r>
      <w:r>
        <w:rPr>
          <w:rFonts w:ascii="Times New Roman" w:cs="Times New Roman" w:eastAsia="Times New Roman" w:hAnsi="Times New Roman"/>
          <w:sz w:val="17"/>
          <w:szCs w:val="17"/>
          <w:color w:val="auto"/>
        </w:rPr>
        <w:t>;</w:t>
      </w:r>
    </w:p>
    <w:p>
      <w:pPr>
        <w:spacing w:after="0" w:line="205" w:lineRule="exact"/>
        <w:rPr>
          <w:rFonts w:ascii="Times New Roman" w:cs="Times New Roman" w:eastAsia="Times New Roman" w:hAnsi="Times New Roman"/>
          <w:sz w:val="17"/>
          <w:szCs w:val="17"/>
          <w:color w:val="auto"/>
        </w:rPr>
      </w:pPr>
    </w:p>
    <w:p>
      <w:pPr>
        <w:ind w:left="1240" w:firstLine="637"/>
        <w:spacing w:after="0" w:line="296" w:lineRule="auto"/>
        <w:tabs>
          <w:tab w:leader="none" w:pos="2496"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Spin-Offs for which an adjustment to the Conversion Rate is required (or would be required without regard to </w:t>
      </w:r>
      <w:r>
        <w:rPr>
          <w:rFonts w:ascii="Times New Roman" w:cs="Times New Roman" w:eastAsia="Times New Roman" w:hAnsi="Times New Roman"/>
          <w:sz w:val="17"/>
          <w:szCs w:val="17"/>
          <w:b w:val="1"/>
          <w:bCs w:val="1"/>
          <w:color w:val="auto"/>
        </w:rPr>
        <w:t>Section 5.05(C)</w:t>
      </w:r>
      <w:r>
        <w:rPr>
          <w:rFonts w:ascii="Times New Roman" w:cs="Times New Roman" w:eastAsia="Times New Roman" w:hAnsi="Times New Roman"/>
          <w:sz w:val="17"/>
          <w:szCs w:val="17"/>
          <w:color w:val="auto"/>
        </w:rPr>
        <w:t>) pursuant to</w:t>
      </w:r>
      <w:r>
        <w:rPr>
          <w:rFonts w:ascii="Times New Roman" w:cs="Times New Roman" w:eastAsia="Times New Roman" w:hAnsi="Times New Roman"/>
          <w:sz w:val="17"/>
          <w:szCs w:val="17"/>
          <w:b w:val="1"/>
          <w:bCs w:val="1"/>
          <w:color w:val="auto"/>
        </w:rPr>
        <w:t xml:space="preserve"> Section 5.05(A)(iii)(2)</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1240" w:firstLine="637"/>
        <w:spacing w:after="0" w:line="296" w:lineRule="auto"/>
        <w:tabs>
          <w:tab w:leader="none" w:pos="2496"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distribution solely pursuant to a tender offer or exchange offer for shares of Common Stock, as to which </w:t>
      </w:r>
      <w:r>
        <w:rPr>
          <w:rFonts w:ascii="Times New Roman" w:cs="Times New Roman" w:eastAsia="Times New Roman" w:hAnsi="Times New Roman"/>
          <w:sz w:val="17"/>
          <w:szCs w:val="17"/>
          <w:b w:val="1"/>
          <w:bCs w:val="1"/>
          <w:color w:val="auto"/>
        </w:rPr>
        <w:t xml:space="preserve">Section 5.05(A)(v) </w:t>
      </w:r>
      <w:r>
        <w:rPr>
          <w:rFonts w:ascii="Times New Roman" w:cs="Times New Roman" w:eastAsia="Times New Roman" w:hAnsi="Times New Roman"/>
          <w:sz w:val="17"/>
          <w:szCs w:val="17"/>
          <w:color w:val="auto"/>
        </w:rPr>
        <w:t>will apply;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773" w:right="339" w:bottom="1440" w:gutter="0" w:footer="0" w:header="0"/>
        </w:sectPr>
      </w:pPr>
    </w:p>
    <w:bookmarkStart w:id="107" w:name="page108"/>
    <w:bookmarkEnd w:id="107"/>
    <w:p>
      <w:pPr>
        <w:ind w:left="1240" w:firstLine="637"/>
        <w:spacing w:after="0" w:line="298" w:lineRule="auto"/>
        <w:tabs>
          <w:tab w:leader="none" w:pos="249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distribution solely pursuant to a Common Stock Change Event, as to which </w:t>
      </w: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 xml:space="preserve"> will apply,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103505</wp:posOffset>
            </wp:positionV>
            <wp:extent cx="1287780" cy="349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7780"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where:</w:t>
            </w:r>
          </w:p>
        </w:tc>
        <w:tc>
          <w:tcPr>
            <w:tcW w:w="440" w:type="dxa"/>
            <w:vAlign w:val="bottom"/>
          </w:tcPr>
          <w:p>
            <w:pPr>
              <w:spacing w:after="0"/>
              <w:rPr>
                <w:sz w:val="19"/>
                <w:szCs w:val="19"/>
                <w:color w:val="auto"/>
              </w:rPr>
            </w:pPr>
          </w:p>
        </w:tc>
        <w:tc>
          <w:tcPr>
            <w:tcW w:w="9620" w:type="dxa"/>
            <w:vAlign w:val="bottom"/>
          </w:tcPr>
          <w:p>
            <w:pPr>
              <w:spacing w:after="0"/>
              <w:rPr>
                <w:sz w:val="19"/>
                <w:szCs w:val="19"/>
                <w:color w:val="auto"/>
              </w:rPr>
            </w:pPr>
          </w:p>
        </w:tc>
      </w:tr>
      <w:tr>
        <w:trPr>
          <w:trHeight w:val="450"/>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before the Open of Business on the Ex-Dividend Date for such distribution;</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after the Open of Business on such Ex-Dividend Date;</w:t>
            </w:r>
          </w:p>
        </w:tc>
      </w:tr>
      <w:tr>
        <w:trPr>
          <w:trHeight w:val="382"/>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SP</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average of the Last Reported Sale Prices per share of Common Stock for the ten (10) consecutive Trading Days ending on, and</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including, the Trading Day immediately before such Ex-Dividend Date; and</w:t>
            </w:r>
          </w:p>
        </w:tc>
      </w:tr>
      <w:tr>
        <w:trPr>
          <w:trHeight w:val="427"/>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FMV</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fair market value (as determined by the Company in good faith and in a commercially reasonable manner), as of such Ex-</w:t>
            </w:r>
          </w:p>
        </w:tc>
      </w:tr>
      <w:tr>
        <w:trPr>
          <w:trHeight w:val="209"/>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Dividend Date, of the shares of Capital Stock, evidences of indebtedness, assets, property, rights, options or warrants distributed per</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share of Common Stock pursuant to such distribution;</w:t>
            </w:r>
          </w:p>
        </w:tc>
      </w:tr>
    </w:tbl>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w:t>
      </w:r>
      <w:r>
        <w:rPr>
          <w:rFonts w:ascii="Times New Roman" w:cs="Times New Roman" w:eastAsia="Times New Roman" w:hAnsi="Times New Roman"/>
          <w:sz w:val="17"/>
          <w:szCs w:val="17"/>
          <w:i w:val="1"/>
          <w:iCs w:val="1"/>
          <w:color w:val="auto"/>
        </w:rPr>
        <w:t xml:space="preserve"> FMV </w:t>
      </w:r>
      <w:r>
        <w:rPr>
          <w:rFonts w:ascii="Times New Roman" w:cs="Times New Roman" w:eastAsia="Times New Roman" w:hAnsi="Times New Roman"/>
          <w:sz w:val="17"/>
          <w:szCs w:val="17"/>
          <w:color w:val="auto"/>
        </w:rPr>
        <w:t>is equal to or greater than</w:t>
      </w:r>
      <w:r>
        <w:rPr>
          <w:rFonts w:ascii="Times New Roman" w:cs="Times New Roman" w:eastAsia="Times New Roman" w:hAnsi="Times New Roman"/>
          <w:sz w:val="17"/>
          <w:szCs w:val="17"/>
          <w:i w:val="1"/>
          <w:iCs w:val="1"/>
          <w:color w:val="auto"/>
        </w:rPr>
        <w:t xml:space="preserve"> SP</w:t>
      </w:r>
      <w:r>
        <w:rPr>
          <w:rFonts w:ascii="Times New Roman" w:cs="Times New Roman" w:eastAsia="Times New Roman" w:hAnsi="Times New Roman"/>
          <w:sz w:val="17"/>
          <w:szCs w:val="17"/>
          <w:color w:val="auto"/>
        </w:rPr>
        <w:t>, then, in lieu of the foregoing adjustment to the Conversion Rate, each Holder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773" w:right="339" w:bottom="1440" w:gutter="0" w:footer="0" w:header="0"/>
        </w:sectPr>
      </w:pPr>
    </w:p>
    <w:bookmarkStart w:id="108" w:name="page109"/>
    <w:bookmarkEnd w:id="108"/>
    <w:p>
      <w:pPr>
        <w:jc w:val="both"/>
        <w:ind w:firstLine="1249"/>
        <w:spacing w:after="0" w:line="265" w:lineRule="auto"/>
        <w:tabs>
          <w:tab w:leader="none" w:pos="188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Spin-Offs</w:t>
      </w:r>
      <w:r>
        <w:rPr>
          <w:rFonts w:ascii="Times New Roman" w:cs="Times New Roman" w:eastAsia="Times New Roman" w:hAnsi="Times New Roman"/>
          <w:sz w:val="17"/>
          <w:szCs w:val="17"/>
          <w:color w:val="auto"/>
        </w:rPr>
        <w:t>. If the Company distributes or dividends shares of Capital Stock of any class or series, or similar equity interests,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 xml:space="preserve"> will apply; or (y) a tender offer or exchange offer for shares of Common Stock, as to which </w:t>
      </w:r>
      <w:r>
        <w:rPr>
          <w:rFonts w:ascii="Times New Roman" w:cs="Times New Roman" w:eastAsia="Times New Roman" w:hAnsi="Times New Roman"/>
          <w:sz w:val="17"/>
          <w:szCs w:val="17"/>
          <w:b w:val="1"/>
          <w:bCs w:val="1"/>
          <w:color w:val="auto"/>
        </w:rPr>
        <w:t>Section 5.05(A)(v)</w:t>
      </w:r>
      <w:r>
        <w:rPr>
          <w:rFonts w:ascii="Times New Roman" w:cs="Times New Roman" w:eastAsia="Times New Roman" w:hAnsi="Times New Roman"/>
          <w:sz w:val="17"/>
          <w:szCs w:val="17"/>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7"/>
          <w:szCs w:val="17"/>
          <w:b w:val="1"/>
          <w:bCs w:val="1"/>
          <w:color w:val="auto"/>
        </w:rPr>
        <w:t>Spin-Off</w:t>
      </w:r>
      <w:r>
        <w:rPr>
          <w:rFonts w:ascii="Times New Roman" w:cs="Times New Roman" w:eastAsia="Times New Roman" w:hAnsi="Times New Roman"/>
          <w:sz w:val="17"/>
          <w:szCs w:val="17"/>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121285</wp:posOffset>
            </wp:positionV>
            <wp:extent cx="1287780" cy="3492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7780"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where:</w:t>
            </w:r>
          </w:p>
        </w:tc>
        <w:tc>
          <w:tcPr>
            <w:tcW w:w="440" w:type="dxa"/>
            <w:vAlign w:val="bottom"/>
          </w:tcPr>
          <w:p>
            <w:pPr>
              <w:spacing w:after="0"/>
              <w:rPr>
                <w:sz w:val="19"/>
                <w:szCs w:val="19"/>
                <w:color w:val="auto"/>
              </w:rPr>
            </w:pPr>
          </w:p>
        </w:tc>
        <w:tc>
          <w:tcPr>
            <w:tcW w:w="9620" w:type="dxa"/>
            <w:vAlign w:val="bottom"/>
          </w:tcPr>
          <w:p>
            <w:pPr>
              <w:spacing w:after="0"/>
              <w:rPr>
                <w:sz w:val="19"/>
                <w:szCs w:val="19"/>
                <w:color w:val="auto"/>
              </w:rPr>
            </w:pPr>
          </w:p>
        </w:tc>
      </w:tr>
      <w:tr>
        <w:trPr>
          <w:trHeight w:val="406"/>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before the Close of Business on the last Trading Day of the Spin-Off Valuation Period for</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such Spin-Off;</w:t>
            </w:r>
          </w:p>
        </w:tc>
      </w:tr>
      <w:tr>
        <w:trPr>
          <w:trHeight w:val="445"/>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after the Close of Business on the last Trading Day of the Spin-Off Valuation Period;</w:t>
            </w:r>
          </w:p>
        </w:tc>
      </w:tr>
      <w:tr>
        <w:trPr>
          <w:trHeight w:val="380"/>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FMV</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product of (x) the average of the Last Reported Sale Prices per share or unit of the Capital Stock or equity interests distributed in</w:t>
            </w:r>
          </w:p>
        </w:tc>
      </w:tr>
      <w:tr>
        <w:trPr>
          <w:trHeight w:val="211"/>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such Spin-Off over the ten (10) consecutive Trading Day period (the “</w:t>
            </w:r>
            <w:r>
              <w:rPr>
                <w:rFonts w:ascii="Times New Roman" w:cs="Times New Roman" w:eastAsia="Times New Roman" w:hAnsi="Times New Roman"/>
                <w:sz w:val="17"/>
                <w:szCs w:val="17"/>
                <w:b w:val="1"/>
                <w:bCs w:val="1"/>
                <w:color w:val="auto"/>
              </w:rPr>
              <w:t>Spin-Off Valuation Period</w:t>
            </w:r>
            <w:r>
              <w:rPr>
                <w:rFonts w:ascii="Times New Roman" w:cs="Times New Roman" w:eastAsia="Times New Roman" w:hAnsi="Times New Roman"/>
                <w:sz w:val="17"/>
                <w:szCs w:val="17"/>
                <w:color w:val="auto"/>
              </w:rPr>
              <w:t>”) beginning on, and including, the</w:t>
            </w:r>
          </w:p>
        </w:tc>
      </w:tr>
      <w:tr>
        <w:trPr>
          <w:trHeight w:val="209"/>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Ex-Dividend Date for such Spin-Off (such average to be determined as if references to Common Stock in the definitions of Last</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Reported Sale Price, Trading Day and Market Disruption Event were instead references to such Capital Stock or equity interests); and</w:t>
            </w:r>
          </w:p>
        </w:tc>
      </w:tr>
    </w:tbl>
    <w:p>
      <w:pPr>
        <w:ind w:left="1500" w:hanging="251"/>
        <w:spacing w:after="0"/>
        <w:tabs>
          <w:tab w:leader="none" w:pos="15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or units of such Capital Stock or equity interests distributed per share of Common Stock in such Spin-Off;</w:t>
      </w:r>
    </w:p>
    <w:p>
      <w:pPr>
        <w:spacing w:after="0" w:line="13"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w:t>
      </w:r>
    </w:p>
    <w:p>
      <w:pPr>
        <w:spacing w:after="0" w:line="229" w:lineRule="exact"/>
        <w:rPr>
          <w:sz w:val="20"/>
          <w:szCs w:val="20"/>
          <w:color w:val="auto"/>
        </w:rPr>
      </w:pPr>
    </w:p>
    <w:p>
      <w:pPr>
        <w:spacing w:after="0"/>
        <w:tabs>
          <w:tab w:leader="none" w:pos="600" w:val="left"/>
          <w:tab w:leader="none" w:pos="1220" w:val="left"/>
        </w:tabs>
        <w:rPr>
          <w:sz w:val="20"/>
          <w:szCs w:val="20"/>
          <w:color w:val="auto"/>
        </w:rPr>
      </w:pPr>
      <w:r>
        <w:rPr>
          <w:rFonts w:ascii="Times New Roman" w:cs="Times New Roman" w:eastAsia="Times New Roman" w:hAnsi="Times New Roman"/>
          <w:sz w:val="17"/>
          <w:szCs w:val="17"/>
          <w:i w:val="1"/>
          <w:iCs w:val="1"/>
          <w:color w:val="auto"/>
        </w:rPr>
        <w:t>SP</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the average of the Last Reported Sale Prices per share of Common Stock for each Trading Day in the Spin-Off Valuation Period.</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Section 5.05(A)(iii)(2)</w:t>
      </w:r>
      <w:r>
        <w:rPr>
          <w:rFonts w:ascii="Times New Roman" w:cs="Times New Roman" w:eastAsia="Times New Roman" w:hAnsi="Times New Roman"/>
          <w:sz w:val="17"/>
          <w:szCs w:val="17"/>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773" w:right="339" w:bottom="1440" w:gutter="0" w:footer="0" w:header="0"/>
        </w:sectPr>
      </w:pPr>
    </w:p>
    <w:bookmarkStart w:id="109" w:name="page110"/>
    <w:bookmarkEnd w:id="109"/>
    <w:p>
      <w:pPr>
        <w:jc w:val="both"/>
        <w:ind w:left="7"/>
        <w:spacing w:after="0" w:line="277" w:lineRule="auto"/>
        <w:rPr>
          <w:sz w:val="20"/>
          <w:szCs w:val="20"/>
          <w:color w:val="auto"/>
        </w:rPr>
      </w:pPr>
      <w:r>
        <w:rPr>
          <w:rFonts w:ascii="Times New Roman" w:cs="Times New Roman" w:eastAsia="Times New Roman" w:hAnsi="Times New Roman"/>
          <w:sz w:val="17"/>
          <w:szCs w:val="17"/>
          <w:color w:val="auto"/>
        </w:rPr>
        <w:t xml:space="preserve">To the extent any dividend or distribution of the type set forth in this </w:t>
      </w:r>
      <w:r>
        <w:rPr>
          <w:rFonts w:ascii="Times New Roman" w:cs="Times New Roman" w:eastAsia="Times New Roman" w:hAnsi="Times New Roman"/>
          <w:sz w:val="17"/>
          <w:szCs w:val="17"/>
          <w:b w:val="1"/>
          <w:bCs w:val="1"/>
          <w:color w:val="auto"/>
        </w:rPr>
        <w:t>Section 5.05(A)(iii)(2)</w:t>
      </w:r>
      <w:r>
        <w:rPr>
          <w:rFonts w:ascii="Times New Roman" w:cs="Times New Roman" w:eastAsia="Times New Roman" w:hAnsi="Times New Roman"/>
          <w:sz w:val="17"/>
          <w:szCs w:val="17"/>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60" w:lineRule="exact"/>
        <w:rPr>
          <w:sz w:val="20"/>
          <w:szCs w:val="20"/>
          <w:color w:val="auto"/>
        </w:rPr>
      </w:pPr>
    </w:p>
    <w:p>
      <w:pPr>
        <w:ind w:left="7" w:firstLine="621"/>
        <w:spacing w:after="0" w:line="298" w:lineRule="auto"/>
        <w:tabs>
          <w:tab w:leader="none" w:pos="1263"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Dividends or Distributions</w:t>
      </w:r>
      <w:r>
        <w:rPr>
          <w:rFonts w:ascii="Times New Roman" w:cs="Times New Roman" w:eastAsia="Times New Roman" w:hAnsi="Times New Roman"/>
          <w:sz w:val="17"/>
          <w:szCs w:val="17"/>
          <w:color w:val="auto"/>
        </w:rPr>
        <w:t>. If any cash dividend or distribution is made to all or substantially all holders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103505</wp:posOffset>
            </wp:positionV>
            <wp:extent cx="1096645" cy="3492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9664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7"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where:</w:t>
            </w:r>
          </w:p>
        </w:tc>
        <w:tc>
          <w:tcPr>
            <w:tcW w:w="440" w:type="dxa"/>
            <w:vAlign w:val="bottom"/>
          </w:tcPr>
          <w:p>
            <w:pPr>
              <w:spacing w:after="0"/>
              <w:rPr>
                <w:sz w:val="19"/>
                <w:szCs w:val="19"/>
                <w:color w:val="auto"/>
              </w:rPr>
            </w:pPr>
          </w:p>
        </w:tc>
        <w:tc>
          <w:tcPr>
            <w:tcW w:w="9380" w:type="dxa"/>
            <w:vAlign w:val="bottom"/>
          </w:tcPr>
          <w:p>
            <w:pPr>
              <w:spacing w:after="0"/>
              <w:rPr>
                <w:sz w:val="19"/>
                <w:szCs w:val="19"/>
                <w:color w:val="auto"/>
              </w:rPr>
            </w:pPr>
          </w:p>
        </w:tc>
      </w:tr>
      <w:tr>
        <w:trPr>
          <w:trHeight w:val="450"/>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before the Open of Business on the Ex-Dividend Date for such dividend or distribution;</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after the Open of Business on such Ex-Dividend Date;</w:t>
            </w:r>
          </w:p>
        </w:tc>
      </w:tr>
      <w:tr>
        <w:trPr>
          <w:trHeight w:val="401"/>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SP</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Last Reported Sale Price per share of Common Stock on the Trading Day immediately before such Ex-Dividend Date; and</w:t>
            </w:r>
          </w:p>
        </w:tc>
      </w:tr>
    </w:tbl>
    <w:p>
      <w:pPr>
        <w:spacing w:after="0" w:line="217" w:lineRule="exact"/>
        <w:rPr>
          <w:sz w:val="20"/>
          <w:szCs w:val="20"/>
          <w:color w:val="auto"/>
        </w:rPr>
      </w:pPr>
    </w:p>
    <w:p>
      <w:pPr>
        <w:ind w:left="627" w:hanging="627"/>
        <w:spacing w:after="0"/>
        <w:tabs>
          <w:tab w:leader="none" w:pos="627" w:val="left"/>
        </w:tabs>
        <w:numPr>
          <w:ilvl w:val="0"/>
          <w:numId w:val="1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cash amount distributed per share of Common Stock in such dividend or distribution;</w:t>
      </w:r>
    </w:p>
    <w:p>
      <w:pPr>
        <w:spacing w:after="0" w:line="221"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w:t>
      </w:r>
      <w:r>
        <w:rPr>
          <w:rFonts w:ascii="Times New Roman" w:cs="Times New Roman" w:eastAsia="Times New Roman" w:hAnsi="Times New Roman"/>
          <w:sz w:val="17"/>
          <w:szCs w:val="17"/>
          <w:i w:val="1"/>
          <w:iCs w:val="1"/>
          <w:color w:val="auto"/>
        </w:rPr>
        <w:t xml:space="preserve"> D </w:t>
      </w:r>
      <w:r>
        <w:rPr>
          <w:rFonts w:ascii="Times New Roman" w:cs="Times New Roman" w:eastAsia="Times New Roman" w:hAnsi="Times New Roman"/>
          <w:sz w:val="17"/>
          <w:szCs w:val="17"/>
          <w:color w:val="auto"/>
        </w:rPr>
        <w:t>is equal to or greater than</w:t>
      </w:r>
      <w:r>
        <w:rPr>
          <w:rFonts w:ascii="Times New Roman" w:cs="Times New Roman" w:eastAsia="Times New Roman" w:hAnsi="Times New Roman"/>
          <w:sz w:val="17"/>
          <w:szCs w:val="17"/>
          <w:i w:val="1"/>
          <w:iCs w:val="1"/>
          <w:color w:val="auto"/>
        </w:rPr>
        <w:t xml:space="preserve"> SP</w:t>
      </w:r>
      <w:r>
        <w:rPr>
          <w:rFonts w:ascii="Times New Roman" w:cs="Times New Roman" w:eastAsia="Times New Roman" w:hAnsi="Times New Roman"/>
          <w:sz w:val="17"/>
          <w:szCs w:val="17"/>
          <w:color w:val="auto"/>
        </w:rPr>
        <w:t>, then, in lieu of the foregoing adjustment to the Conversion Rate, each Holder will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each $1,000 principal amount of Notes held by such Holder on the record date for such dividend or distribution, at the same time and on the same terms as holders of Common Stock, and without having to convert its Notes, the amount of cash that such Holder would have received if such Holder had owned, on such record date, a number of shares of Common Stock equal to the Conversion Rate in effect on such record date.</w:t>
      </w:r>
    </w:p>
    <w:p>
      <w:pPr>
        <w:spacing w:after="0" w:line="169" w:lineRule="exact"/>
        <w:rPr>
          <w:sz w:val="20"/>
          <w:szCs w:val="20"/>
          <w:color w:val="auto"/>
        </w:rPr>
      </w:pPr>
    </w:p>
    <w:p>
      <w:pPr>
        <w:jc w:val="both"/>
        <w:ind w:left="7"/>
        <w:spacing w:after="0" w:line="296" w:lineRule="auto"/>
        <w:rPr>
          <w:sz w:val="20"/>
          <w:szCs w:val="20"/>
          <w:color w:val="auto"/>
        </w:rPr>
      </w:pPr>
      <w:r>
        <w:rPr>
          <w:rFonts w:ascii="Times New Roman" w:cs="Times New Roman" w:eastAsia="Times New Roman" w:hAnsi="Times New Roman"/>
          <w:sz w:val="17"/>
          <w:szCs w:val="17"/>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73" w:right="339" w:bottom="1440" w:gutter="0" w:footer="0" w:header="0"/>
        </w:sectPr>
      </w:pPr>
    </w:p>
    <w:bookmarkStart w:id="110" w:name="page111"/>
    <w:bookmarkEnd w:id="110"/>
    <w:p>
      <w:pPr>
        <w:jc w:val="both"/>
        <w:ind w:firstLine="621"/>
        <w:spacing w:after="0" w:line="265" w:lineRule="auto"/>
        <w:tabs>
          <w:tab w:leader="none" w:pos="125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Tender Offers or Exchange Offers</w:t>
      </w:r>
      <w:r>
        <w:rPr>
          <w:rFonts w:ascii="Times New Roman" w:cs="Times New Roman" w:eastAsia="Times New Roman" w:hAnsi="Times New Roman"/>
          <w:sz w:val="17"/>
          <w:szCs w:val="17"/>
          <w:color w:val="auto"/>
        </w:rPr>
        <w:t>. If the Company or any of its Subsidiaries makes a payment in respect of a tender offer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121285</wp:posOffset>
            </wp:positionV>
            <wp:extent cx="1553845" cy="382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53845"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where:</w:t>
            </w:r>
          </w:p>
        </w:tc>
        <w:tc>
          <w:tcPr>
            <w:tcW w:w="440" w:type="dxa"/>
            <w:vAlign w:val="bottom"/>
          </w:tcPr>
          <w:p>
            <w:pPr>
              <w:spacing w:after="0"/>
              <w:rPr>
                <w:sz w:val="19"/>
                <w:szCs w:val="19"/>
                <w:color w:val="auto"/>
              </w:rPr>
            </w:pPr>
          </w:p>
        </w:tc>
        <w:tc>
          <w:tcPr>
            <w:tcW w:w="9620" w:type="dxa"/>
            <w:vAlign w:val="bottom"/>
          </w:tcPr>
          <w:p>
            <w:pPr>
              <w:spacing w:after="0"/>
              <w:rPr>
                <w:sz w:val="19"/>
                <w:szCs w:val="19"/>
                <w:color w:val="auto"/>
              </w:rPr>
            </w:pPr>
          </w:p>
        </w:tc>
      </w:tr>
      <w:tr>
        <w:trPr>
          <w:trHeight w:val="406"/>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before the Close of Business on the last Trading Day of the Tender/Exchange Offer</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Valuation Period for such tender or exchange offer;</w:t>
            </w:r>
          </w:p>
        </w:tc>
      </w:tr>
      <w:tr>
        <w:trPr>
          <w:trHeight w:val="401"/>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Conversion Rate in effect immediately after the Close of Business on the last Trading Day of the Tender/Exchange Offer</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Valuation Period;</w:t>
            </w:r>
          </w:p>
        </w:tc>
      </w:tr>
      <w:tr>
        <w:trPr>
          <w:trHeight w:val="395"/>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AC</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aggregate value (determined as of the time (the “</w:t>
            </w:r>
            <w:r>
              <w:rPr>
                <w:rFonts w:ascii="Times New Roman" w:cs="Times New Roman" w:eastAsia="Times New Roman" w:hAnsi="Times New Roman"/>
                <w:sz w:val="17"/>
                <w:szCs w:val="17"/>
                <w:b w:val="1"/>
                <w:bCs w:val="1"/>
                <w:color w:val="auto"/>
              </w:rPr>
              <w:t>Expiration Time</w:t>
            </w:r>
            <w:r>
              <w:rPr>
                <w:rFonts w:ascii="Times New Roman" w:cs="Times New Roman" w:eastAsia="Times New Roman" w:hAnsi="Times New Roman"/>
                <w:sz w:val="17"/>
                <w:szCs w:val="17"/>
                <w:color w:val="auto"/>
              </w:rPr>
              <w:t>”) such tender or exchange offer expires by the Company in</w:t>
            </w:r>
          </w:p>
        </w:tc>
      </w:tr>
      <w:tr>
        <w:trPr>
          <w:trHeight w:val="209"/>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good faith and in a commercially reasonable manner) of all cash and other consideration paid for shares of Common Stock purchased</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or exchanged in such tender or exchange offer;</w:t>
            </w:r>
          </w:p>
        </w:tc>
      </w:tr>
      <w:tr>
        <w:trPr>
          <w:trHeight w:val="406"/>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before the Expiration Time (including all shares of Common Stock</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accepted for purchase or exchange in such tender or exchange offer);</w:t>
            </w:r>
          </w:p>
        </w:tc>
      </w:tr>
      <w:tr>
        <w:trPr>
          <w:trHeight w:val="401"/>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after the Expiration Time (excluding all shares of Common Stock</w:t>
            </w:r>
          </w:p>
        </w:tc>
      </w:tr>
      <w:tr>
        <w:trPr>
          <w:trHeight w:val="227"/>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accepted for purchase or exchange in such tender or exchange offer); and</w:t>
            </w:r>
          </w:p>
        </w:tc>
      </w:tr>
      <w:tr>
        <w:trPr>
          <w:trHeight w:val="393"/>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SP</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average of the Last Reported Sale Prices per share of Common Stock over the ten (10) consecutive Trading Day period (the</w:t>
            </w:r>
          </w:p>
        </w:tc>
      </w:tr>
      <w:tr>
        <w:trPr>
          <w:trHeight w:val="229"/>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Tender/Exchange Offer Valuation Period</w:t>
            </w:r>
            <w:r>
              <w:rPr>
                <w:rFonts w:ascii="Times New Roman" w:cs="Times New Roman" w:eastAsia="Times New Roman" w:hAnsi="Times New Roman"/>
                <w:sz w:val="17"/>
                <w:szCs w:val="17"/>
                <w:color w:val="auto"/>
              </w:rPr>
              <w:t>”) beginning on, and including, the Trading Day immediately after the Expiration Date;</w:t>
            </w:r>
          </w:p>
        </w:tc>
      </w:tr>
    </w:tbl>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Conversion Rate will in no event be adjusted down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5.05(A)(v)</w:t>
      </w:r>
      <w:r>
        <w:rPr>
          <w:rFonts w:ascii="Times New Roman" w:cs="Times New Roman" w:eastAsia="Times New Roman" w:hAnsi="Times New Roman"/>
          <w:sz w:val="17"/>
          <w:szCs w:val="17"/>
          <w:color w:val="auto"/>
        </w:rPr>
        <w:t>, except to the extent provided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immediately following paragraph. Notwithstanding anything to the contrary in this </w:t>
      </w:r>
      <w:r>
        <w:rPr>
          <w:rFonts w:ascii="Times New Roman" w:cs="Times New Roman" w:eastAsia="Times New Roman" w:hAnsi="Times New Roman"/>
          <w:sz w:val="17"/>
          <w:szCs w:val="17"/>
          <w:b w:val="1"/>
          <w:bCs w:val="1"/>
          <w:color w:val="auto"/>
        </w:rPr>
        <w:t>Section 5.05(A)(v)</w:t>
      </w:r>
      <w:r>
        <w:rPr>
          <w:rFonts w:ascii="Times New Roman" w:cs="Times New Roman" w:eastAsia="Times New Roman" w:hAnsi="Times New Roman"/>
          <w:sz w:val="17"/>
          <w:szCs w:val="17"/>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200" w:lineRule="exact"/>
        <w:rPr>
          <w:sz w:val="20"/>
          <w:szCs w:val="20"/>
          <w:color w:val="auto"/>
        </w:rPr>
      </w:pPr>
    </w:p>
    <w:p>
      <w:pPr>
        <w:spacing w:after="0" w:line="29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773" w:right="339" w:bottom="1440" w:gutter="0" w:footer="0" w:header="0"/>
        </w:sectPr>
      </w:pPr>
    </w:p>
    <w:bookmarkStart w:id="111" w:name="page112"/>
    <w:bookmarkEnd w:id="111"/>
    <w:p>
      <w:pPr>
        <w:jc w:val="both"/>
        <w:ind w:left="7"/>
        <w:spacing w:after="0" w:line="270" w:lineRule="auto"/>
        <w:rPr>
          <w:sz w:val="20"/>
          <w:szCs w:val="20"/>
          <w:color w:val="auto"/>
        </w:rPr>
      </w:pPr>
      <w:r>
        <w:rPr>
          <w:rFonts w:ascii="Times New Roman" w:cs="Times New Roman" w:eastAsia="Times New Roman" w:hAnsi="Times New Roman"/>
          <w:sz w:val="17"/>
          <w:szCs w:val="17"/>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65" w:lineRule="exact"/>
        <w:rPr>
          <w:sz w:val="20"/>
          <w:szCs w:val="20"/>
          <w:color w:val="auto"/>
        </w:rPr>
      </w:pPr>
    </w:p>
    <w:p>
      <w:pPr>
        <w:ind w:left="627" w:hanging="627"/>
        <w:spacing w:after="0"/>
        <w:tabs>
          <w:tab w:leader="none" w:pos="62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Adjustments in Certain Cases</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jc w:val="both"/>
        <w:ind w:left="7" w:firstLine="621"/>
        <w:spacing w:after="0" w:line="263" w:lineRule="auto"/>
        <w:tabs>
          <w:tab w:leader="none" w:pos="1263"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Where Holders Participate in the Transaction or Event Without Conversion</w:t>
      </w:r>
      <w:r>
        <w:rPr>
          <w:rFonts w:ascii="Times New Roman" w:cs="Times New Roman" w:eastAsia="Times New Roman" w:hAnsi="Times New Roman"/>
          <w:sz w:val="17"/>
          <w:szCs w:val="17"/>
          <w:color w:val="auto"/>
        </w:rPr>
        <w:t>. Notwithstanding anything to the contrary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the Company will not be obligated to adjust the Conversion Rate on account of a transaction or other event otherwise requiring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adjustment pursuant to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xml:space="preserve"> (other than a stock split or combination of the type set forth in </w:t>
      </w:r>
      <w:r>
        <w:rPr>
          <w:rFonts w:ascii="Times New Roman" w:cs="Times New Roman" w:eastAsia="Times New Roman" w:hAnsi="Times New Roman"/>
          <w:sz w:val="17"/>
          <w:szCs w:val="17"/>
          <w:b w:val="1"/>
          <w:bCs w:val="1"/>
          <w:color w:val="auto"/>
        </w:rPr>
        <w:t>Section 5.05(A)(i)</w:t>
      </w:r>
      <w:r>
        <w:rPr>
          <w:rFonts w:ascii="Times New Roman" w:cs="Times New Roman" w:eastAsia="Times New Roman" w:hAnsi="Times New Roman"/>
          <w:sz w:val="17"/>
          <w:szCs w:val="17"/>
          <w:color w:val="auto"/>
        </w:rPr>
        <w:t xml:space="preserve"> or a tender or exchange offer of the type set forth in </w:t>
      </w:r>
      <w:r>
        <w:rPr>
          <w:rFonts w:ascii="Times New Roman" w:cs="Times New Roman" w:eastAsia="Times New Roman" w:hAnsi="Times New Roman"/>
          <w:sz w:val="17"/>
          <w:szCs w:val="17"/>
          <w:b w:val="1"/>
          <w:bCs w:val="1"/>
          <w:color w:val="auto"/>
        </w:rPr>
        <w:t>Section 5.05(A)(v)</w:t>
      </w:r>
      <w:r>
        <w:rPr>
          <w:rFonts w:ascii="Times New Roman" w:cs="Times New Roman" w:eastAsia="Times New Roman" w:hAnsi="Times New Roman"/>
          <w:sz w:val="17"/>
          <w:szCs w:val="17"/>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75" w:lineRule="exact"/>
        <w:rPr>
          <w:rFonts w:ascii="Times New Roman" w:cs="Times New Roman" w:eastAsia="Times New Roman" w:hAnsi="Times New Roman"/>
          <w:sz w:val="17"/>
          <w:szCs w:val="17"/>
          <w:color w:val="auto"/>
        </w:rPr>
      </w:pPr>
    </w:p>
    <w:p>
      <w:pPr>
        <w:ind w:left="7" w:firstLine="621"/>
        <w:spacing w:after="0" w:line="298" w:lineRule="auto"/>
        <w:tabs>
          <w:tab w:leader="none" w:pos="1263"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Events</w:t>
      </w:r>
      <w:r>
        <w:rPr>
          <w:rFonts w:ascii="Times New Roman" w:cs="Times New Roman" w:eastAsia="Times New Roman" w:hAnsi="Times New Roman"/>
          <w:sz w:val="17"/>
          <w:szCs w:val="17"/>
          <w:color w:val="auto"/>
        </w:rPr>
        <w:t>. The Company will not be required to adjust the Conversion Rate except as provided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limiting the foregoing, the Company will not be obligated to adjust the Conversion Rate on account of:</w:t>
      </w:r>
    </w:p>
    <w:p>
      <w:pPr>
        <w:spacing w:after="0" w:line="142" w:lineRule="exact"/>
        <w:rPr>
          <w:rFonts w:ascii="Times New Roman" w:cs="Times New Roman" w:eastAsia="Times New Roman" w:hAnsi="Times New Roman"/>
          <w:sz w:val="17"/>
          <w:szCs w:val="17"/>
          <w:color w:val="auto"/>
        </w:rPr>
      </w:pPr>
    </w:p>
    <w:p>
      <w:pPr>
        <w:ind w:left="7" w:firstLine="1249"/>
        <w:spacing w:after="0" w:line="298" w:lineRule="auto"/>
        <w:tabs>
          <w:tab w:leader="none" w:pos="1891"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in </w:t>
      </w:r>
      <w:r>
        <w:rPr>
          <w:rFonts w:ascii="Times New Roman" w:cs="Times New Roman" w:eastAsia="Times New Roman" w:hAnsi="Times New Roman"/>
          <w:sz w:val="17"/>
          <w:szCs w:val="17"/>
          <w:b w:val="1"/>
          <w:bCs w:val="1"/>
          <w:color w:val="auto"/>
        </w:rPr>
        <w:t>Section 5.05</w:t>
      </w:r>
      <w:r>
        <w:rPr>
          <w:rFonts w:ascii="Times New Roman" w:cs="Times New Roman" w:eastAsia="Times New Roman" w:hAnsi="Times New Roman"/>
          <w:sz w:val="17"/>
          <w:szCs w:val="17"/>
          <w:color w:val="auto"/>
        </w:rPr>
        <w:t>, the sale of shares of Common Stock for a purchase price that is less than the market price per share of Common Stock or less than the Conversion Price;</w:t>
      </w:r>
    </w:p>
    <w:p>
      <w:pPr>
        <w:spacing w:after="0" w:line="144" w:lineRule="exact"/>
        <w:rPr>
          <w:rFonts w:ascii="Times New Roman" w:cs="Times New Roman" w:eastAsia="Times New Roman" w:hAnsi="Times New Roman"/>
          <w:sz w:val="17"/>
          <w:szCs w:val="17"/>
          <w:color w:val="auto"/>
        </w:rPr>
      </w:pPr>
    </w:p>
    <w:p>
      <w:pPr>
        <w:jc w:val="both"/>
        <w:ind w:left="7" w:firstLine="1249"/>
        <w:spacing w:after="0" w:line="288" w:lineRule="auto"/>
        <w:tabs>
          <w:tab w:leader="none" w:pos="1891"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368"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45" w:lineRule="exact"/>
        <w:rPr>
          <w:rFonts w:ascii="Times New Roman" w:cs="Times New Roman" w:eastAsia="Times New Roman" w:hAnsi="Times New Roman"/>
          <w:sz w:val="17"/>
          <w:szCs w:val="17"/>
          <w:color w:val="auto"/>
        </w:rPr>
      </w:pPr>
    </w:p>
    <w:p>
      <w:pPr>
        <w:ind w:left="7" w:firstLine="1249"/>
        <w:spacing w:after="0" w:line="296" w:lineRule="auto"/>
        <w:tabs>
          <w:tab w:leader="none" w:pos="1891"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shares of Common Stock pursuant to any option, warrant, right or convertible or exchangeable security of the Company outstanding as of the Issue Date;</w:t>
      </w:r>
    </w:p>
    <w:p>
      <w:pPr>
        <w:spacing w:after="0" w:line="145"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a change in the par value of the Common Stock; or</w:t>
      </w:r>
    </w:p>
    <w:p>
      <w:pPr>
        <w:spacing w:after="0" w:line="223" w:lineRule="exact"/>
        <w:rPr>
          <w:rFonts w:ascii="Times New Roman" w:cs="Times New Roman" w:eastAsia="Times New Roman" w:hAnsi="Times New Roman"/>
          <w:sz w:val="17"/>
          <w:szCs w:val="17"/>
          <w:color w:val="auto"/>
        </w:rPr>
      </w:pPr>
    </w:p>
    <w:p>
      <w:pPr>
        <w:ind w:left="1887" w:hanging="631"/>
        <w:spacing w:after="0"/>
        <w:tabs>
          <w:tab w:leader="none" w:pos="1887"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and unpaid interest on the Notes.</w:t>
      </w:r>
    </w:p>
    <w:p>
      <w:pPr>
        <w:spacing w:after="0" w:line="221" w:lineRule="exact"/>
        <w:rPr>
          <w:rFonts w:ascii="Times New Roman" w:cs="Times New Roman" w:eastAsia="Times New Roman" w:hAnsi="Times New Roman"/>
          <w:sz w:val="17"/>
          <w:szCs w:val="17"/>
          <w:color w:val="auto"/>
        </w:rPr>
      </w:pPr>
    </w:p>
    <w:p>
      <w:pPr>
        <w:ind w:left="627" w:hanging="627"/>
        <w:spacing w:after="0"/>
        <w:tabs>
          <w:tab w:leader="none" w:pos="62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[Reserved]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07"/>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20320</wp:posOffset>
            </wp:positionV>
            <wp:extent cx="7136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7"/>
          </w:cols>
          <w:pgMar w:left="953" w:top="775" w:right="339" w:bottom="1440" w:gutter="0" w:footer="0" w:header="0"/>
        </w:sectPr>
      </w:pPr>
    </w:p>
    <w:bookmarkStart w:id="112" w:name="page113"/>
    <w:bookmarkEnd w:id="112"/>
    <w:p>
      <w:pPr>
        <w:ind w:left="1240" w:hanging="627"/>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Adjustments Not Yet Effective</w:t>
      </w:r>
      <w:r>
        <w:rPr>
          <w:rFonts w:ascii="Times New Roman" w:cs="Times New Roman" w:eastAsia="Times New Roman" w:hAnsi="Times New Roman"/>
          <w:sz w:val="17"/>
          <w:szCs w:val="17"/>
          <w:color w:val="auto"/>
        </w:rPr>
        <w:t>. Notwithstanding anything to the contrary in this Indenture or the Notes, if:</w:t>
      </w:r>
    </w:p>
    <w:p>
      <w:pPr>
        <w:spacing w:after="0" w:line="225"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Note is to be converted and Physical Settlement or Combination Settlement applies to such conversion;</w:t>
      </w:r>
    </w:p>
    <w:p>
      <w:pPr>
        <w:spacing w:after="0" w:line="223"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17"/>
          <w:szCs w:val="17"/>
          <w:b w:val="1"/>
          <w:bCs w:val="1"/>
          <w:color w:val="auto"/>
        </w:rPr>
        <w:t xml:space="preserve">Section 5.05(A) </w:t>
      </w:r>
      <w:r>
        <w:rPr>
          <w:rFonts w:ascii="Times New Roman" w:cs="Times New Roman" w:eastAsia="Times New Roman" w:hAnsi="Times New Roman"/>
          <w:sz w:val="17"/>
          <w:szCs w:val="17"/>
          <w:color w:val="auto"/>
        </w:rPr>
        <w:t>has occurred on or before the Conversion Date for such conversion (in the case of Physical Settlement) or on or before any VWAP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67"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and</w:t>
      </w:r>
    </w:p>
    <w:p>
      <w:pPr>
        <w:spacing w:after="0" w:line="162" w:lineRule="exact"/>
        <w:rPr>
          <w:rFonts w:ascii="Times New Roman" w:cs="Times New Roman" w:eastAsia="Times New Roman" w:hAnsi="Times New Roman"/>
          <w:sz w:val="17"/>
          <w:szCs w:val="17"/>
          <w:color w:val="auto"/>
        </w:rPr>
      </w:pPr>
    </w:p>
    <w:p>
      <w:pPr>
        <w:jc w:val="both"/>
        <w:ind w:left="620" w:firstLine="621"/>
        <w:spacing w:after="0" w:line="266" w:lineRule="auto"/>
        <w:tabs>
          <w:tab w:leader="none" w:pos="187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shares are not entitled to participate in such event (because they were not held on the related record date or otherwise), 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70" w:lineRule="exact"/>
        <w:rPr>
          <w:rFonts w:ascii="Times New Roman" w:cs="Times New Roman" w:eastAsia="Times New Roman" w:hAnsi="Times New Roman"/>
          <w:sz w:val="17"/>
          <w:szCs w:val="17"/>
          <w:color w:val="auto"/>
        </w:rPr>
      </w:pPr>
    </w:p>
    <w:p>
      <w:pPr>
        <w:ind w:left="-20" w:firstLine="633"/>
        <w:spacing w:after="0" w:line="298" w:lineRule="auto"/>
        <w:tabs>
          <w:tab w:leader="none" w:pos="123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 Rate Adjustments where Converting Holders Participate in the Relevant Transaction or Event</w:t>
      </w:r>
      <w:r>
        <w:rPr>
          <w:rFonts w:ascii="Times New Roman" w:cs="Times New Roman" w:eastAsia="Times New Roman" w:hAnsi="Times New Roman"/>
          <w:sz w:val="17"/>
          <w:szCs w:val="17"/>
          <w:color w:val="auto"/>
        </w:rPr>
        <w:t>. Notwithstanding anything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contrary in this Indenture or the Notes, if:</w:t>
      </w:r>
    </w:p>
    <w:p>
      <w:pPr>
        <w:spacing w:after="0" w:line="144"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Rate adjustment for any dividend or distribution becomes effective on any Ex-Dividend Date pursuant to</w:t>
      </w:r>
    </w:p>
    <w:p>
      <w:pPr>
        <w:spacing w:after="0" w:line="3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w:t>
      </w:r>
    </w:p>
    <w:p>
      <w:pPr>
        <w:spacing w:after="0" w:line="205"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Note is to be converted pursuant to Physical Settlement or Combination Settlement;</w:t>
      </w:r>
    </w:p>
    <w:p>
      <w:pPr>
        <w:spacing w:after="0" w:line="223"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45"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spacing w:after="0" w:line="160" w:lineRule="exact"/>
        <w:rPr>
          <w:rFonts w:ascii="Times New Roman" w:cs="Times New Roman" w:eastAsia="Times New Roman" w:hAnsi="Times New Roman"/>
          <w:sz w:val="17"/>
          <w:szCs w:val="17"/>
          <w:color w:val="auto"/>
        </w:rPr>
      </w:pPr>
    </w:p>
    <w:p>
      <w:pPr>
        <w:jc w:val="both"/>
        <w:ind w:left="620" w:firstLine="621"/>
        <w:spacing w:after="0" w:line="262" w:lineRule="auto"/>
        <w:tabs>
          <w:tab w:leader="none" w:pos="187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shares would be entitled to participate in such dividend or distribution (including pursuant to </w:t>
      </w:r>
      <w:r>
        <w:rPr>
          <w:rFonts w:ascii="Times New Roman" w:cs="Times New Roman" w:eastAsia="Times New Roman" w:hAnsi="Times New Roman"/>
          <w:sz w:val="17"/>
          <w:szCs w:val="17"/>
          <w:b w:val="1"/>
          <w:bCs w:val="1"/>
          <w:color w:val="auto"/>
        </w:rPr>
        <w:t>Section 5.02(C)</w:t>
      </w:r>
      <w:r>
        <w:rPr>
          <w:rFonts w:ascii="Times New Roman" w:cs="Times New Roman" w:eastAsia="Times New Roman" w:hAnsi="Times New Roman"/>
          <w:sz w:val="17"/>
          <w:szCs w:val="17"/>
          <w:color w:val="auto"/>
        </w:rPr>
        <w:t>), 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13" w:name="page114"/>
    <w:bookmarkEnd w:id="113"/>
    <w:p>
      <w:pPr>
        <w:jc w:val="both"/>
        <w:ind w:left="-5" w:firstLine="633"/>
        <w:spacing w:after="0" w:line="265" w:lineRule="auto"/>
        <w:tabs>
          <w:tab w:leader="none" w:pos="12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Stockholder Rights Plans</w:t>
      </w:r>
      <w:r>
        <w:rPr>
          <w:rFonts w:ascii="Times New Roman" w:cs="Times New Roman" w:eastAsia="Times New Roman" w:hAnsi="Times New Roman"/>
          <w:sz w:val="17"/>
          <w:szCs w:val="17"/>
          <w:color w:val="auto"/>
        </w:rPr>
        <w:t>. If any shares of Common Stock are to be issued upon conversion of any Note and, at the time of such conversion,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17"/>
          <w:szCs w:val="17"/>
          <w:b w:val="1"/>
          <w:bCs w:val="1"/>
          <w:color w:val="auto"/>
        </w:rPr>
        <w:t xml:space="preserve">Section 5.05(A)(iii)(1) </w:t>
      </w:r>
      <w:r>
        <w:rPr>
          <w:rFonts w:ascii="Times New Roman" w:cs="Times New Roman" w:eastAsia="Times New Roman" w:hAnsi="Times New Roman"/>
          <w:sz w:val="17"/>
          <w:szCs w:val="17"/>
          <w:color w:val="auto"/>
        </w:rPr>
        <w:t>on account of such separation as if, at the time of such separation, the Company had made a distribution of the type referred to in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Section to all holders of the Common Stock, subject to potential readjustment in accordance with the last paragraph of </w:t>
      </w:r>
      <w:r>
        <w:rPr>
          <w:rFonts w:ascii="Times New Roman" w:cs="Times New Roman" w:eastAsia="Times New Roman" w:hAnsi="Times New Roman"/>
          <w:sz w:val="17"/>
          <w:szCs w:val="17"/>
          <w:b w:val="1"/>
          <w:bCs w:val="1"/>
          <w:color w:val="auto"/>
        </w:rPr>
        <w:t>Section 5.05(A)(iii)(1)</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jc w:val="both"/>
        <w:ind w:left="-5" w:firstLine="633"/>
        <w:spacing w:after="0" w:line="277" w:lineRule="auto"/>
        <w:tabs>
          <w:tab w:leader="none" w:pos="12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Limitation on Effecting Transactions Resulting in Certain Adjustments</w:t>
      </w:r>
      <w:r>
        <w:rPr>
          <w:rFonts w:ascii="Times New Roman" w:cs="Times New Roman" w:eastAsia="Times New Roman" w:hAnsi="Times New Roman"/>
          <w:sz w:val="17"/>
          <w:szCs w:val="17"/>
          <w:color w:val="auto"/>
        </w:rPr>
        <w:t>. The Company will not engage in or be a party to any transaction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event that would require the Conversion Rate to be adjusted pursuant to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 xml:space="preserve"> to an amount that would result in the Conversion Price per share of Common Stock being less than the par value per share of Common Stock.</w:t>
      </w:r>
    </w:p>
    <w:p>
      <w:pPr>
        <w:spacing w:after="0" w:line="160" w:lineRule="exact"/>
        <w:rPr>
          <w:rFonts w:ascii="Times New Roman" w:cs="Times New Roman" w:eastAsia="Times New Roman" w:hAnsi="Times New Roman"/>
          <w:sz w:val="17"/>
          <w:szCs w:val="17"/>
          <w:color w:val="auto"/>
        </w:rPr>
      </w:pPr>
    </w:p>
    <w:p>
      <w:pPr>
        <w:jc w:val="both"/>
        <w:ind w:left="-5" w:firstLine="633"/>
        <w:spacing w:after="0" w:line="265" w:lineRule="auto"/>
        <w:tabs>
          <w:tab w:leader="none" w:pos="12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Equitable Adjustments to Prices</w:t>
      </w:r>
      <w:r>
        <w:rPr>
          <w:rFonts w:ascii="Times New Roman" w:cs="Times New Roman" w:eastAsia="Times New Roman" w:hAnsi="Times New Roman"/>
          <w:sz w:val="17"/>
          <w:szCs w:val="17"/>
          <w:color w:val="auto"/>
        </w:rPr>
        <w:t>. Whenever any provision of this Indenture requires the Company to calculate the average of the Last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Prices, or any function thereof, over a period of multiple days (including to calculate the Stock Price or an adjustment to the Conversion Rate), or to calculate Daily VWAPs, Daily Conversion Values, Daily Cash Amounts or Daily Share Amounts over an Observation Period, the Company will, if appropriate, make proportionate adjustments to such calculations to account for any adjustment to the Conversion Rate that becomes effective, or any event requiring such an adjustment to the Conversion Rate where the Ex-Dividend Date, effective date or Expiration Date, as applicable, of such event occurs, at any time during such period or Observation Period, as applicable.</w:t>
      </w:r>
    </w:p>
    <w:p>
      <w:pPr>
        <w:spacing w:after="0" w:line="170" w:lineRule="exact"/>
        <w:rPr>
          <w:rFonts w:ascii="Times New Roman" w:cs="Times New Roman" w:eastAsia="Times New Roman" w:hAnsi="Times New Roman"/>
          <w:sz w:val="17"/>
          <w:szCs w:val="17"/>
          <w:color w:val="auto"/>
        </w:rPr>
      </w:pPr>
    </w:p>
    <w:p>
      <w:pPr>
        <w:jc w:val="both"/>
        <w:ind w:left="-5" w:firstLine="633"/>
        <w:spacing w:after="0" w:line="270" w:lineRule="auto"/>
        <w:tabs>
          <w:tab w:leader="none" w:pos="12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Calculation of Number of Outstanding Shares of Common Stock</w:t>
      </w:r>
      <w:r>
        <w:rPr>
          <w:rFonts w:ascii="Times New Roman" w:cs="Times New Roman" w:eastAsia="Times New Roman" w:hAnsi="Times New Roman"/>
          <w:sz w:val="17"/>
          <w:szCs w:val="17"/>
          <w:color w:val="auto"/>
        </w:rPr>
        <w:t>. For purposes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the number of shares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67" w:lineRule="exact"/>
        <w:rPr>
          <w:rFonts w:ascii="Times New Roman" w:cs="Times New Roman" w:eastAsia="Times New Roman" w:hAnsi="Times New Roman"/>
          <w:sz w:val="17"/>
          <w:szCs w:val="17"/>
          <w:color w:val="auto"/>
        </w:rPr>
      </w:pPr>
    </w:p>
    <w:p>
      <w:pPr>
        <w:ind w:left="-5" w:firstLine="633"/>
        <w:spacing w:after="0" w:line="298" w:lineRule="auto"/>
        <w:tabs>
          <w:tab w:leader="none" w:pos="12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Calculations</w:t>
      </w:r>
      <w:r>
        <w:rPr>
          <w:rFonts w:ascii="Times New Roman" w:cs="Times New Roman" w:eastAsia="Times New Roman" w:hAnsi="Times New Roman"/>
          <w:sz w:val="17"/>
          <w:szCs w:val="17"/>
          <w:color w:val="auto"/>
        </w:rPr>
        <w:t>. All calculations with respect to the Conversion Rate and adjustments thereto will be made to the nearest 1/10,000th of a share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(with 5/100,000ths rounded upward).</w:t>
      </w:r>
    </w:p>
    <w:p>
      <w:pPr>
        <w:spacing w:after="0" w:line="142" w:lineRule="exact"/>
        <w:rPr>
          <w:rFonts w:ascii="Times New Roman" w:cs="Times New Roman" w:eastAsia="Times New Roman" w:hAnsi="Times New Roman"/>
          <w:sz w:val="17"/>
          <w:szCs w:val="17"/>
          <w:color w:val="auto"/>
        </w:rPr>
      </w:pPr>
    </w:p>
    <w:p>
      <w:pPr>
        <w:jc w:val="both"/>
        <w:ind w:left="-5" w:firstLine="633"/>
        <w:spacing w:after="0" w:line="274" w:lineRule="auto"/>
        <w:tabs>
          <w:tab w:leader="none" w:pos="125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Conversion Rate Adjustments</w:t>
      </w:r>
      <w:r>
        <w:rPr>
          <w:rFonts w:ascii="Times New Roman" w:cs="Times New Roman" w:eastAsia="Times New Roman" w:hAnsi="Times New Roman"/>
          <w:sz w:val="17"/>
          <w:szCs w:val="17"/>
          <w:color w:val="auto"/>
        </w:rPr>
        <w:t>. Upon the effectiveness of any adjustment to the Conversion Rate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377" w:lineRule="exact"/>
        <w:rPr>
          <w:sz w:val="20"/>
          <w:szCs w:val="20"/>
          <w:color w:val="auto"/>
        </w:rPr>
      </w:pPr>
    </w:p>
    <w:p>
      <w:pPr>
        <w:ind w:left="635"/>
        <w:spacing w:after="0"/>
        <w:tabs>
          <w:tab w:leader="none" w:pos="2175"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5.06.</w:t>
      </w:r>
      <w:r>
        <w:rPr>
          <w:sz w:val="20"/>
          <w:szCs w:val="20"/>
          <w:color w:val="auto"/>
        </w:rPr>
        <w:tab/>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1"/>
          <w:szCs w:val="11"/>
          <w:b w:val="1"/>
          <w:bCs w:val="1"/>
          <w:color w:val="auto"/>
        </w:rPr>
        <w:t>oluntary</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djustments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5" w:firstLine="633"/>
        <w:spacing w:after="0" w:line="269" w:lineRule="auto"/>
        <w:tabs>
          <w:tab w:leader="none" w:pos="1251"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To the extent permitted by law and applicable stock exchange rules, the Company, from time to time, may (but is not required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the Conversion Rate by any amount if (i) the Board of Directors determines that such increase is either (x) in the best interest of the Company; or</w:t>
      </w:r>
    </w:p>
    <w:p>
      <w:pPr>
        <w:jc w:val="both"/>
        <w:ind w:left="-5" w:firstLine="5"/>
        <w:spacing w:after="0" w:line="265" w:lineRule="auto"/>
        <w:tabs>
          <w:tab w:leader="none" w:pos="25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69" w:lineRule="exact"/>
        <w:rPr>
          <w:rFonts w:ascii="Times New Roman" w:cs="Times New Roman" w:eastAsia="Times New Roman" w:hAnsi="Times New Roman"/>
          <w:sz w:val="17"/>
          <w:szCs w:val="17"/>
          <w:color w:val="auto"/>
        </w:rPr>
      </w:pPr>
    </w:p>
    <w:p>
      <w:pPr>
        <w:jc w:val="both"/>
        <w:ind w:left="-5" w:firstLine="633"/>
        <w:spacing w:after="0" w:line="277" w:lineRule="auto"/>
        <w:tabs>
          <w:tab w:leader="none" w:pos="1251"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Voluntary Increases</w:t>
      </w:r>
      <w:r>
        <w:rPr>
          <w:rFonts w:ascii="Times New Roman" w:cs="Times New Roman" w:eastAsia="Times New Roman" w:hAnsi="Times New Roman"/>
          <w:sz w:val="17"/>
          <w:szCs w:val="17"/>
          <w:color w:val="auto"/>
        </w:rPr>
        <w:t>. If the Board of Directors determines to increase the Conversion Rate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5.06(A)</w:t>
      </w:r>
      <w:r>
        <w:rPr>
          <w:rFonts w:ascii="Times New Roman" w:cs="Times New Roman" w:eastAsia="Times New Roman" w:hAnsi="Times New Roman"/>
          <w:sz w:val="17"/>
          <w:szCs w:val="17"/>
          <w:color w:val="auto"/>
        </w:rPr>
        <w:t>, then, no later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than the first Business Day of the related twenty (20) Business Day period referred to in </w:t>
      </w:r>
      <w:r>
        <w:rPr>
          <w:rFonts w:ascii="Times New Roman" w:cs="Times New Roman" w:eastAsia="Times New Roman" w:hAnsi="Times New Roman"/>
          <w:sz w:val="17"/>
          <w:szCs w:val="17"/>
          <w:b w:val="1"/>
          <w:bCs w:val="1"/>
          <w:color w:val="auto"/>
        </w:rPr>
        <w:t>Section 5.06(A)</w:t>
      </w:r>
      <w:r>
        <w:rPr>
          <w:rFonts w:ascii="Times New Roman" w:cs="Times New Roman" w:eastAsia="Times New Roman" w:hAnsi="Times New Roman"/>
          <w:sz w:val="17"/>
          <w:szCs w:val="17"/>
          <w:color w:val="auto"/>
        </w:rPr>
        <w:t>, the Company will send notice to each Holder, the Trustee and the Conversion Agent of such increase, the amount thereof and the period during which such increase will be in effect.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367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35"/>
          </w:cols>
          <w:pgMar w:left="325" w:top="773" w:right="339" w:bottom="1440" w:gutter="0" w:footer="0" w:header="0"/>
        </w:sectPr>
      </w:pPr>
    </w:p>
    <w:bookmarkStart w:id="114" w:name="page115"/>
    <w:bookmarkEnd w:id="114"/>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5.07.</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djustments to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ate in</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onnection with a</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ake</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hole</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undamental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hange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33"/>
        <w:spacing w:after="0" w:line="270" w:lineRule="auto"/>
        <w:tabs>
          <w:tab w:leader="none" w:pos="125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If a Make-Whole Fundamental Change occurs and the Conversion Date for the conversion of a Note occurs during the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Make-Whole Fundamental Change Conversion Period, then, subject to this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 the Conversion Rate applicable to such conversion will be increased by a number of shares (the “</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Make-Whole Fundamental Change Effective Date</w:t>
            </w: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840" w:type="dxa"/>
            <w:vAlign w:val="bottom"/>
            <w:gridSpan w:val="2"/>
            <w:vMerge w:val="continue"/>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$1.6560</w:t>
            </w: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$2.0000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$2.8600</w:t>
            </w: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$3.0000</w:t>
            </w:r>
          </w:p>
        </w:tc>
        <w:tc>
          <w:tcPr>
            <w:tcW w:w="600" w:type="dxa"/>
            <w:vAlign w:val="bottom"/>
          </w:tcPr>
          <w:p>
            <w:pPr>
              <w:jc w:val="center"/>
              <w:ind w:left="11"/>
              <w:spacing w:after="0" w:line="137" w:lineRule="exact"/>
              <w:rPr>
                <w:sz w:val="20"/>
                <w:szCs w:val="20"/>
                <w:color w:val="auto"/>
              </w:rPr>
            </w:pPr>
            <w:r>
              <w:rPr>
                <w:rFonts w:ascii="Times New Roman" w:cs="Times New Roman" w:eastAsia="Times New Roman" w:hAnsi="Times New Roman"/>
                <w:sz w:val="14"/>
                <w:szCs w:val="14"/>
                <w:b w:val="1"/>
                <w:bCs w:val="1"/>
                <w:color w:val="auto"/>
                <w:w w:val="96"/>
              </w:rPr>
              <w:t>$3.5000</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$4.0000</w:t>
            </w: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$4.5000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$5.0000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$6.0000</w:t>
            </w: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$7.0000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$8.0000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tcBorders>
              <w:top w:val="single" w:sz="8" w:color="auto"/>
            </w:tcBorders>
          </w:tcPr>
          <w:p>
            <w:pPr>
              <w:spacing w:after="0" w:line="114" w:lineRule="exact"/>
              <w:rPr>
                <w:sz w:val="20"/>
                <w:szCs w:val="20"/>
                <w:color w:val="auto"/>
              </w:rPr>
            </w:pPr>
            <w:r>
              <w:rPr>
                <w:rFonts w:ascii="Times New Roman" w:cs="Times New Roman" w:eastAsia="Times New Roman" w:hAnsi="Times New Roman"/>
                <w:sz w:val="13"/>
                <w:szCs w:val="13"/>
                <w:color w:val="auto"/>
              </w:rPr>
              <w:t>May 27, 2025</w:t>
            </w:r>
          </w:p>
        </w:tc>
        <w:tc>
          <w:tcPr>
            <w:tcW w:w="68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254.2144</w:t>
            </w:r>
          </w:p>
        </w:tc>
        <w:tc>
          <w:tcPr>
            <w:tcW w:w="70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176.3150</w:t>
            </w:r>
          </w:p>
        </w:tc>
        <w:tc>
          <w:tcPr>
            <w:tcW w:w="66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78.0734</w:t>
            </w:r>
          </w:p>
        </w:tc>
        <w:tc>
          <w:tcPr>
            <w:tcW w:w="68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68.8900</w:t>
            </w:r>
          </w:p>
        </w:tc>
        <w:tc>
          <w:tcPr>
            <w:tcW w:w="600" w:type="dxa"/>
            <w:vAlign w:val="bottom"/>
            <w:tcBorders>
              <w:top w:val="single" w:sz="8" w:color="auto"/>
            </w:tcBorders>
          </w:tcPr>
          <w:p>
            <w:pPr>
              <w:jc w:val="center"/>
              <w:ind w:left="11"/>
              <w:spacing w:after="0" w:line="114" w:lineRule="exact"/>
              <w:rPr>
                <w:sz w:val="20"/>
                <w:szCs w:val="20"/>
                <w:color w:val="auto"/>
              </w:rPr>
            </w:pPr>
            <w:r>
              <w:rPr>
                <w:rFonts w:ascii="Times New Roman" w:cs="Times New Roman" w:eastAsia="Times New Roman" w:hAnsi="Times New Roman"/>
                <w:sz w:val="13"/>
                <w:szCs w:val="13"/>
                <w:color w:val="auto"/>
              </w:rPr>
              <w:t>44.3229</w:t>
            </w:r>
          </w:p>
        </w:tc>
        <w:tc>
          <w:tcPr>
            <w:tcW w:w="78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28.4475</w:t>
            </w:r>
          </w:p>
        </w:tc>
        <w:tc>
          <w:tcPr>
            <w:tcW w:w="64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17.9133</w:t>
            </w:r>
          </w:p>
        </w:tc>
        <w:tc>
          <w:tcPr>
            <w:tcW w:w="66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10.8220</w:t>
            </w:r>
          </w:p>
        </w:tc>
        <w:tc>
          <w:tcPr>
            <w:tcW w:w="66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2.9000</w:t>
            </w:r>
          </w:p>
        </w:tc>
        <w:tc>
          <w:tcPr>
            <w:tcW w:w="68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0.0786</w:t>
            </w:r>
          </w:p>
        </w:tc>
        <w:tc>
          <w:tcPr>
            <w:tcW w:w="66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44"/>
        </w:trPr>
        <w:tc>
          <w:tcPr>
            <w:tcW w:w="38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November 15, 2025</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254.2144</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174.6550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75.3042</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66.1500</w:t>
            </w:r>
          </w:p>
        </w:tc>
        <w:tc>
          <w:tcPr>
            <w:tcW w:w="600" w:type="dxa"/>
            <w:vAlign w:val="bottom"/>
          </w:tcPr>
          <w:p>
            <w:pPr>
              <w:jc w:val="center"/>
              <w:ind w:left="11"/>
              <w:spacing w:after="0" w:line="144" w:lineRule="exact"/>
              <w:rPr>
                <w:sz w:val="20"/>
                <w:szCs w:val="20"/>
                <w:color w:val="auto"/>
              </w:rPr>
            </w:pPr>
            <w:r>
              <w:rPr>
                <w:rFonts w:ascii="Times New Roman" w:cs="Times New Roman" w:eastAsia="Times New Roman" w:hAnsi="Times New Roman"/>
                <w:sz w:val="14"/>
                <w:szCs w:val="14"/>
                <w:color w:val="auto"/>
                <w:w w:val="96"/>
              </w:rPr>
              <w:t>41.8743</w:t>
            </w: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26.4175</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16.3156</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9.6200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2.3300</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0.0100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0.0000</w:t>
            </w:r>
          </w:p>
        </w:tc>
        <w:tc>
          <w:tcPr>
            <w:tcW w:w="0" w:type="dxa"/>
            <w:vAlign w:val="bottom"/>
          </w:tcPr>
          <w:p>
            <w:pPr>
              <w:spacing w:after="0"/>
              <w:rPr>
                <w:sz w:val="1"/>
                <w:szCs w:val="1"/>
                <w:color w:val="auto"/>
              </w:rPr>
            </w:pPr>
          </w:p>
        </w:tc>
      </w:tr>
      <w:tr>
        <w:trPr>
          <w:trHeight w:val="144"/>
        </w:trPr>
        <w:tc>
          <w:tcPr>
            <w:tcW w:w="38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November 15 2026</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254.2144</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167.1100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65.7413</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56.8233</w:t>
            </w:r>
          </w:p>
        </w:tc>
        <w:tc>
          <w:tcPr>
            <w:tcW w:w="600" w:type="dxa"/>
            <w:vAlign w:val="bottom"/>
          </w:tcPr>
          <w:p>
            <w:pPr>
              <w:jc w:val="center"/>
              <w:ind w:left="11"/>
              <w:spacing w:after="0" w:line="144" w:lineRule="exact"/>
              <w:rPr>
                <w:sz w:val="20"/>
                <w:szCs w:val="20"/>
                <w:color w:val="auto"/>
              </w:rPr>
            </w:pPr>
            <w:r>
              <w:rPr>
                <w:rFonts w:ascii="Times New Roman" w:cs="Times New Roman" w:eastAsia="Times New Roman" w:hAnsi="Times New Roman"/>
                <w:sz w:val="14"/>
                <w:szCs w:val="14"/>
                <w:color w:val="auto"/>
                <w:w w:val="96"/>
              </w:rPr>
              <w:t>33.8771</w:t>
            </w: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20.0200</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11.4356</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6.0560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0.7917</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0.0000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0.0000</w:t>
            </w:r>
          </w:p>
        </w:tc>
        <w:tc>
          <w:tcPr>
            <w:tcW w:w="0" w:type="dxa"/>
            <w:vAlign w:val="bottom"/>
          </w:tcPr>
          <w:p>
            <w:pPr>
              <w:spacing w:after="0"/>
              <w:rPr>
                <w:sz w:val="1"/>
                <w:szCs w:val="1"/>
                <w:color w:val="auto"/>
              </w:rPr>
            </w:pPr>
          </w:p>
        </w:tc>
      </w:tr>
      <w:tr>
        <w:trPr>
          <w:trHeight w:val="144"/>
        </w:trPr>
        <w:tc>
          <w:tcPr>
            <w:tcW w:w="38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November 15, 2027</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254.2144</w:t>
            </w: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155.5250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49.1399</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40.7133</w:t>
            </w:r>
          </w:p>
        </w:tc>
        <w:tc>
          <w:tcPr>
            <w:tcW w:w="600" w:type="dxa"/>
            <w:vAlign w:val="bottom"/>
          </w:tcPr>
          <w:p>
            <w:pPr>
              <w:jc w:val="center"/>
              <w:ind w:left="11"/>
              <w:spacing w:after="0" w:line="144" w:lineRule="exact"/>
              <w:rPr>
                <w:sz w:val="20"/>
                <w:szCs w:val="20"/>
                <w:color w:val="auto"/>
              </w:rPr>
            </w:pPr>
            <w:r>
              <w:rPr>
                <w:rFonts w:ascii="Times New Roman" w:cs="Times New Roman" w:eastAsia="Times New Roman" w:hAnsi="Times New Roman"/>
                <w:sz w:val="14"/>
                <w:szCs w:val="14"/>
                <w:color w:val="auto"/>
                <w:w w:val="96"/>
              </w:rPr>
              <w:t>20.7029</w:t>
            </w: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10.2600</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3"/>
              </w:rPr>
              <w:t>4.6711</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1.6620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0.0000</w:t>
            </w: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0.0000</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0.0000</w:t>
            </w: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November 15, 2028</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254.2144</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150.3500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6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0.0000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0.0000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0.0000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0.0000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such Make-Whole Fundamental Change Effective Date or Stock Price is not set forth in the table above, then:</w:t>
      </w:r>
    </w:p>
    <w:p>
      <w:pPr>
        <w:spacing w:after="0" w:line="223" w:lineRule="exact"/>
        <w:rPr>
          <w:sz w:val="20"/>
          <w:szCs w:val="20"/>
          <w:color w:val="auto"/>
        </w:rPr>
      </w:pPr>
    </w:p>
    <w:p>
      <w:pPr>
        <w:jc w:val="both"/>
        <w:ind w:left="640" w:firstLine="621"/>
        <w:spacing w:after="0" w:line="270" w:lineRule="auto"/>
        <w:tabs>
          <w:tab w:leader="none" w:pos="189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67"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Stock Price is greater than $8.0000 (subject to adjustment in the same manner as the Stock Prices set forth in the column headings of the table above are adjusted pursuant to </w:t>
      </w:r>
      <w:r>
        <w:rPr>
          <w:rFonts w:ascii="Times New Roman" w:cs="Times New Roman" w:eastAsia="Times New Roman" w:hAnsi="Times New Roman"/>
          <w:sz w:val="17"/>
          <w:szCs w:val="17"/>
          <w:b w:val="1"/>
          <w:bCs w:val="1"/>
          <w:color w:val="auto"/>
        </w:rPr>
        <w:t>Section 5.07(B)</w:t>
      </w:r>
      <w:r>
        <w:rPr>
          <w:rFonts w:ascii="Times New Roman" w:cs="Times New Roman" w:eastAsia="Times New Roman" w:hAnsi="Times New Roman"/>
          <w:sz w:val="17"/>
          <w:szCs w:val="17"/>
          <w:color w:val="auto"/>
        </w:rPr>
        <w:t>), or less than $1.6560 (subject to adjustment in the same manner), per share, then no Additional Shares will be added to the Conversion Rate.</w:t>
      </w:r>
    </w:p>
    <w:p>
      <w:pPr>
        <w:spacing w:after="0" w:line="163"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Indenture or the Notes, in no event will the Conversion Rate be increased to an amount that exceeds 603.8647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For the avoidance of doubt, but subject to </w:t>
      </w:r>
      <w:r>
        <w:rPr>
          <w:rFonts w:ascii="Times New Roman" w:cs="Times New Roman" w:eastAsia="Times New Roman" w:hAnsi="Times New Roman"/>
          <w:sz w:val="17"/>
          <w:szCs w:val="17"/>
          <w:b w:val="1"/>
          <w:bCs w:val="1"/>
          <w:color w:val="auto"/>
        </w:rPr>
        <w:t>Section 4.03(I)</w:t>
      </w:r>
      <w:r>
        <w:rPr>
          <w:rFonts w:ascii="Times New Roman" w:cs="Times New Roman" w:eastAsia="Times New Roman" w:hAnsi="Times New Roman"/>
          <w:sz w:val="17"/>
          <w:szCs w:val="17"/>
          <w:color w:val="auto"/>
        </w:rPr>
        <w:t xml:space="preserve">, (x) the sending of a Redemption Notice will constitute a Make-Whole Fundamental Change only with respect to the Notes called (or deemed called) for Redemption pursuant to such Redemption Notice, and not with respect to any other Notes; and (y) the Conversion Rate applicable to the Notes not so called for Redemption will not be subject to increase pursuant to this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 xml:space="preserve"> on account of such Redemption Notice.</w:t>
      </w:r>
    </w:p>
    <w:p>
      <w:pPr>
        <w:spacing w:after="0" w:line="167" w:lineRule="exact"/>
        <w:rPr>
          <w:sz w:val="20"/>
          <w:szCs w:val="20"/>
          <w:color w:val="auto"/>
        </w:rPr>
      </w:pPr>
    </w:p>
    <w:p>
      <w:pPr>
        <w:jc w:val="both"/>
        <w:ind w:firstLine="633"/>
        <w:spacing w:after="0" w:line="270" w:lineRule="auto"/>
        <w:tabs>
          <w:tab w:leader="none" w:pos="125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Adjustment of Stock Prices and Number of Additional Shares</w:t>
      </w:r>
      <w:r>
        <w:rPr>
          <w:rFonts w:ascii="Times New Roman" w:cs="Times New Roman" w:eastAsia="Times New Roman" w:hAnsi="Times New Roman"/>
          <w:sz w:val="17"/>
          <w:szCs w:val="17"/>
          <w:color w:val="auto"/>
        </w:rPr>
        <w:t>. The Stock Prices in the first row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column headers) of the table set forth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auto"/>
        </w:rPr>
        <w:t>Section 5.07(A)</w:t>
      </w:r>
      <w:r>
        <w:rPr>
          <w:rFonts w:ascii="Times New Roman" w:cs="Times New Roman" w:eastAsia="Times New Roman" w:hAnsi="Times New Roman"/>
          <w:sz w:val="17"/>
          <w:szCs w:val="17"/>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xml:space="preserve">. The numbers of Additional Shares in the table set forth in </w:t>
      </w:r>
      <w:r>
        <w:rPr>
          <w:rFonts w:ascii="Times New Roman" w:cs="Times New Roman" w:eastAsia="Times New Roman" w:hAnsi="Times New Roman"/>
          <w:sz w:val="17"/>
          <w:szCs w:val="17"/>
          <w:b w:val="1"/>
          <w:bCs w:val="1"/>
          <w:color w:val="auto"/>
        </w:rPr>
        <w:t>Section 5.07(A)</w:t>
      </w:r>
      <w:r>
        <w:rPr>
          <w:rFonts w:ascii="Times New Roman" w:cs="Times New Roman" w:eastAsia="Times New Roman" w:hAnsi="Times New Roman"/>
          <w:sz w:val="17"/>
          <w:szCs w:val="17"/>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the Occurrence of a Make-Whole Fundamental Change</w:t>
      </w:r>
      <w:r>
        <w:rPr>
          <w:rFonts w:ascii="Times New Roman" w:cs="Times New Roman" w:eastAsia="Times New Roman" w:hAnsi="Times New Roman"/>
          <w:sz w:val="17"/>
          <w:szCs w:val="17"/>
          <w:color w:val="auto"/>
        </w:rPr>
        <w:t>. The Company will notify the Holders, the Trustee and the Conversion Agent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each Make-Whole Fundamental Change (i) occurring pursuant to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of the definition thereof in accordance with </w:t>
      </w:r>
      <w:r>
        <w:rPr>
          <w:rFonts w:ascii="Times New Roman" w:cs="Times New Roman" w:eastAsia="Times New Roman" w:hAnsi="Times New Roman"/>
          <w:sz w:val="17"/>
          <w:szCs w:val="17"/>
          <w:b w:val="1"/>
          <w:bCs w:val="1"/>
          <w:color w:val="auto"/>
        </w:rPr>
        <w:t>Section 4.02(F)</w:t>
      </w:r>
      <w:r>
        <w:rPr>
          <w:rFonts w:ascii="Times New Roman" w:cs="Times New Roman" w:eastAsia="Times New Roman" w:hAnsi="Times New Roman"/>
          <w:sz w:val="17"/>
          <w:szCs w:val="17"/>
          <w:color w:val="auto"/>
        </w:rPr>
        <w:t xml:space="preserve">; and (ii) occurring pursuant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of the definition thereof in accordance with </w:t>
      </w:r>
      <w:r>
        <w:rPr>
          <w:rFonts w:ascii="Times New Roman" w:cs="Times New Roman" w:eastAsia="Times New Roman" w:hAnsi="Times New Roman"/>
          <w:sz w:val="17"/>
          <w:szCs w:val="17"/>
          <w:b w:val="1"/>
          <w:bCs w:val="1"/>
          <w:color w:val="auto"/>
        </w:rPr>
        <w:t>Section 4.03(F)</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5" w:name="page116"/>
    <w:bookmarkEnd w:id="115"/>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5.08.</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xchange in</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ieu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and subject to the terms of this </w:t>
      </w:r>
      <w:r>
        <w:rPr>
          <w:rFonts w:ascii="Times New Roman" w:cs="Times New Roman" w:eastAsia="Times New Roman" w:hAnsi="Times New Roman"/>
          <w:sz w:val="17"/>
          <w:szCs w:val="17"/>
          <w:b w:val="1"/>
          <w:bCs w:val="1"/>
          <w:color w:val="auto"/>
        </w:rPr>
        <w:t>Section 5.08</w:t>
      </w:r>
      <w:r>
        <w:rPr>
          <w:rFonts w:ascii="Times New Roman" w:cs="Times New Roman" w:eastAsia="Times New Roman" w:hAnsi="Times New Roman"/>
          <w:sz w:val="17"/>
          <w:szCs w:val="17"/>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69" w:lineRule="exact"/>
        <w:rPr>
          <w:sz w:val="20"/>
          <w:szCs w:val="20"/>
          <w:color w:val="auto"/>
        </w:rPr>
      </w:pPr>
    </w:p>
    <w:p>
      <w:pPr>
        <w:jc w:val="both"/>
        <w:ind w:firstLine="633"/>
        <w:spacing w:after="0" w:line="270" w:lineRule="auto"/>
        <w:tabs>
          <w:tab w:leader="none" w:pos="1256"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firstLine="633"/>
        <w:spacing w:after="0" w:line="268" w:lineRule="auto"/>
        <w:tabs>
          <w:tab w:leader="none" w:pos="1256"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w:t>
      </w:r>
    </w:p>
    <w:p>
      <w:pPr>
        <w:ind w:left="260" w:hanging="255"/>
        <w:spacing w:after="0"/>
        <w:tabs>
          <w:tab w:leader="none" w:pos="26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Agent will as soon as reasonably practicable thereafter contact such Holder’s custodian with the Depositary to confirm receipt of the same;</w:t>
      </w:r>
    </w:p>
    <w:p>
      <w:pPr>
        <w:spacing w:after="0" w:line="1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w:t>
      </w:r>
    </w:p>
    <w:p>
      <w:pPr>
        <w:spacing w:after="0" w:line="20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Note will not cease to be outstanding by reason of such exchange in lieu of conversion;</w:t>
      </w:r>
    </w:p>
    <w:p>
      <w:pPr>
        <w:spacing w:after="0" w:line="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such financial institution does not accept such Note or fails to timely deliver such Conversion Consideration, then the Company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 responsible for delivering such Conversion Consideration in the manner and at the time provided in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as if the Company had not elected to make an exchange in lieu of conversion.</w:t>
      </w:r>
    </w:p>
    <w:p>
      <w:pPr>
        <w:spacing w:after="0" w:line="196"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5.09.</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ffect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hange</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vent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60" w:hanging="627"/>
        <w:spacing w:after="0"/>
        <w:tabs>
          <w:tab w:leader="none" w:pos="12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If there occurs any:</w:t>
      </w:r>
    </w:p>
    <w:p>
      <w:pPr>
        <w:spacing w:after="0" w:line="225"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62"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merger, combination or binding or statutory share exchange involving the Company;</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 lease or other transfer of all or substantially all of the assets of the Company and its Subsidiaries, taken as a whole, to any</w:t>
      </w:r>
    </w:p>
    <w:p>
      <w:pPr>
        <w:spacing w:after="0" w:line="31"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or</w:t>
      </w:r>
    </w:p>
    <w:p>
      <w:pPr>
        <w:spacing w:after="0" w:line="205" w:lineRule="exact"/>
        <w:rPr>
          <w:rFonts w:ascii="Times New Roman" w:cs="Times New Roman" w:eastAsia="Times New Roman" w:hAnsi="Times New Roman"/>
          <w:sz w:val="17"/>
          <w:szCs w:val="17"/>
          <w:color w:val="auto"/>
        </w:rPr>
      </w:pPr>
    </w:p>
    <w:p>
      <w:pPr>
        <w:jc w:val="both"/>
        <w:ind w:left="640" w:firstLine="621"/>
        <w:spacing w:after="0" w:line="265" w:lineRule="auto"/>
        <w:tabs>
          <w:tab w:leader="none" w:pos="1896"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similar event, 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7"/>
          <w:szCs w:val="17"/>
          <w:b w:val="1"/>
          <w:bCs w:val="1"/>
          <w:color w:val="auto"/>
        </w:rPr>
        <w:t>Common Stock Change Event</w:t>
      </w:r>
      <w:r>
        <w:rPr>
          <w:rFonts w:ascii="Times New Roman" w:cs="Times New Roman" w:eastAsia="Times New Roman" w:hAnsi="Times New Roman"/>
          <w:sz w:val="17"/>
          <w:szCs w:val="17"/>
          <w:color w:val="auto"/>
        </w:rPr>
        <w:t>,” and such other securities, cash or property, the “</w:t>
      </w:r>
      <w:r>
        <w:rPr>
          <w:rFonts w:ascii="Times New Roman" w:cs="Times New Roman" w:eastAsia="Times New Roman" w:hAnsi="Times New Roman"/>
          <w:sz w:val="17"/>
          <w:szCs w:val="17"/>
          <w:b w:val="1"/>
          <w:bCs w:val="1"/>
          <w:color w:val="auto"/>
        </w:rPr>
        <w:t>Reference Property</w:t>
      </w:r>
      <w:r>
        <w:rPr>
          <w:rFonts w:ascii="Times New Roman" w:cs="Times New Roman" w:eastAsia="Times New Roman" w:hAnsi="Times New Roman"/>
          <w:sz w:val="17"/>
          <w:szCs w:val="17"/>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7"/>
          <w:szCs w:val="17"/>
          <w:b w:val="1"/>
          <w:bCs w:val="1"/>
          <w:color w:val="auto"/>
        </w:rPr>
        <w:t>Reference Property Unit</w:t>
      </w:r>
      <w:r>
        <w:rPr>
          <w:rFonts w:ascii="Times New Roman" w:cs="Times New Roman" w:eastAsia="Times New Roman" w:hAnsi="Times New Roman"/>
          <w:sz w:val="17"/>
          <w:szCs w:val="17"/>
          <w:color w:val="auto"/>
        </w:rPr>
        <w:t>”), then, notwithstanding anything to the contrary in this Indenture 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16" w:name="page117"/>
    <w:bookmarkEnd w:id="116"/>
    <w:p>
      <w:pPr>
        <w:jc w:val="both"/>
        <w:ind w:left="640" w:firstLine="1249"/>
        <w:spacing w:after="0" w:line="263" w:lineRule="auto"/>
        <w:tabs>
          <w:tab w:leader="none" w:pos="2524"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spacing w:after="0" w:line="175" w:lineRule="exact"/>
        <w:rPr>
          <w:rFonts w:ascii="Times New Roman" w:cs="Times New Roman" w:eastAsia="Times New Roman" w:hAnsi="Times New Roman"/>
          <w:sz w:val="17"/>
          <w:szCs w:val="17"/>
          <w:color w:val="auto"/>
        </w:rPr>
      </w:pPr>
    </w:p>
    <w:p>
      <w:pPr>
        <w:jc w:val="both"/>
        <w:ind w:left="640" w:firstLine="1249"/>
        <w:spacing w:after="0" w:line="266" w:lineRule="auto"/>
        <w:tabs>
          <w:tab w:leader="none" w:pos="2524"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17"/>
          <w:szCs w:val="17"/>
          <w:b w:val="1"/>
          <w:bCs w:val="1"/>
          <w:color w:val="auto"/>
        </w:rPr>
        <w:t>Section 5.07</w:t>
      </w:r>
      <w:r>
        <w:rPr>
          <w:rFonts w:ascii="Times New Roman" w:cs="Times New Roman" w:eastAsia="Times New Roman" w:hAnsi="Times New Roman"/>
          <w:sz w:val="17"/>
          <w:szCs w:val="17"/>
          <w:color w:val="auto"/>
        </w:rPr>
        <w:t>, if applicable); and (y) the amount of cash constituting such Reference Property Unit; and (II) the Company will settle each such conversion no later than the tenth (10th) Business Day after the relevant Conversion Date; and</w:t>
      </w:r>
    </w:p>
    <w:p>
      <w:pPr>
        <w:spacing w:after="0" w:line="172" w:lineRule="exact"/>
        <w:rPr>
          <w:rFonts w:ascii="Times New Roman" w:cs="Times New Roman" w:eastAsia="Times New Roman" w:hAnsi="Times New Roman"/>
          <w:sz w:val="17"/>
          <w:szCs w:val="17"/>
          <w:color w:val="auto"/>
        </w:rPr>
      </w:pPr>
    </w:p>
    <w:p>
      <w:pPr>
        <w:jc w:val="both"/>
        <w:ind w:left="640" w:firstLine="1249"/>
        <w:spacing w:after="0" w:line="264" w:lineRule="auto"/>
        <w:tabs>
          <w:tab w:leader="none" w:pos="2524"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7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spacing w:after="0" w:line="167"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17"/>
          <w:szCs w:val="17"/>
          <w:b w:val="1"/>
          <w:bCs w:val="1"/>
          <w:color w:val="auto"/>
        </w:rPr>
        <w:t>Successor Person</w:t>
      </w:r>
      <w:r>
        <w:rPr>
          <w:rFonts w:ascii="Times New Roman" w:cs="Times New Roman" w:eastAsia="Times New Roman" w:hAnsi="Times New Roman"/>
          <w:sz w:val="17"/>
          <w:szCs w:val="17"/>
          <w:color w:val="auto"/>
        </w:rPr>
        <w:t xml:space="preserve">”) will execute and deliver to the Trustee a supplemental indenture pursuant to </w:t>
      </w:r>
      <w:r>
        <w:rPr>
          <w:rFonts w:ascii="Times New Roman" w:cs="Times New Roman" w:eastAsia="Times New Roman" w:hAnsi="Times New Roman"/>
          <w:sz w:val="17"/>
          <w:szCs w:val="17"/>
          <w:b w:val="1"/>
          <w:bCs w:val="1"/>
          <w:color w:val="auto"/>
        </w:rPr>
        <w:t>Section 8.01(F)</w:t>
      </w:r>
      <w:r>
        <w:rPr>
          <w:rFonts w:ascii="Times New Roman" w:cs="Times New Roman" w:eastAsia="Times New Roman" w:hAnsi="Times New Roman"/>
          <w:sz w:val="17"/>
          <w:szCs w:val="17"/>
          <w:color w:val="auto"/>
        </w:rPr>
        <w:t>, which supplemental indenture will (x) provide for subsequent conversions of Notes in the manner set forth in this</w:t>
      </w:r>
      <w:r>
        <w:rPr>
          <w:rFonts w:ascii="Times New Roman" w:cs="Times New Roman" w:eastAsia="Times New Roman" w:hAnsi="Times New Roman"/>
          <w:sz w:val="17"/>
          <w:szCs w:val="17"/>
          <w:b w:val="1"/>
          <w:bCs w:val="1"/>
          <w:color w:val="auto"/>
        </w:rPr>
        <w:t xml:space="preserve"> Section 5.09</w:t>
      </w:r>
      <w:r>
        <w:rPr>
          <w:rFonts w:ascii="Times New Roman" w:cs="Times New Roman" w:eastAsia="Times New Roman" w:hAnsi="Times New Roman"/>
          <w:sz w:val="17"/>
          <w:szCs w:val="17"/>
          <w:color w:val="auto"/>
        </w:rPr>
        <w:t>; (y) provide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subsequent adjustments to the Conversion Rate pursuant to </w:t>
      </w:r>
      <w:r>
        <w:rPr>
          <w:rFonts w:ascii="Times New Roman" w:cs="Times New Roman" w:eastAsia="Times New Roman" w:hAnsi="Times New Roman"/>
          <w:sz w:val="17"/>
          <w:szCs w:val="17"/>
          <w:b w:val="1"/>
          <w:bCs w:val="1"/>
          <w:color w:val="auto"/>
        </w:rPr>
        <w:t>Section 5.05(A)</w:t>
      </w:r>
      <w:r>
        <w:rPr>
          <w:rFonts w:ascii="Times New Roman" w:cs="Times New Roman" w:eastAsia="Times New Roman" w:hAnsi="Times New Roman"/>
          <w:sz w:val="17"/>
          <w:szCs w:val="17"/>
          <w:color w:val="auto"/>
        </w:rPr>
        <w:t xml:space="preserve"> in a manner consistent with this </w:t>
      </w: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 xml:space="preserve">;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17"/>
          <w:szCs w:val="17"/>
          <w:b w:val="1"/>
          <w:bCs w:val="1"/>
          <w:color w:val="auto"/>
        </w:rPr>
        <w:t>Section 5.09(A)</w:t>
      </w:r>
      <w:r>
        <w:rPr>
          <w:rFonts w:ascii="Times New Roman" w:cs="Times New Roman" w:eastAsia="Times New Roman" w:hAnsi="Times New Roman"/>
          <w:sz w:val="17"/>
          <w:szCs w:val="17"/>
          <w:color w:val="auto"/>
        </w:rPr>
        <w:t>. If the Reference Property includes shares of stock or other securities or assets (other than cash) of a Person other than the Successor Person,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75" w:lineRule="exact"/>
        <w:rPr>
          <w:sz w:val="20"/>
          <w:szCs w:val="20"/>
          <w:color w:val="auto"/>
        </w:rPr>
      </w:pPr>
    </w:p>
    <w:p>
      <w:pPr>
        <w:ind w:firstLine="633"/>
        <w:spacing w:after="0" w:line="298" w:lineRule="auto"/>
        <w:tabs>
          <w:tab w:leader="none" w:pos="125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Common Stock Change Events</w:t>
      </w:r>
      <w:r>
        <w:rPr>
          <w:rFonts w:ascii="Times New Roman" w:cs="Times New Roman" w:eastAsia="Times New Roman" w:hAnsi="Times New Roman"/>
          <w:sz w:val="17"/>
          <w:szCs w:val="17"/>
          <w:color w:val="auto"/>
        </w:rPr>
        <w:t>. The Company will provide notice of each Common Stock Change Event to Holders, the Trustee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Conversion Agent no later than the Business Day after the effective date of such Common Stock Change Event.</w:t>
      </w:r>
    </w:p>
    <w:p>
      <w:pPr>
        <w:spacing w:after="0" w:line="142"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Covenant</w:t>
      </w:r>
      <w:r>
        <w:rPr>
          <w:rFonts w:ascii="Times New Roman" w:cs="Times New Roman" w:eastAsia="Times New Roman" w:hAnsi="Times New Roman"/>
          <w:sz w:val="17"/>
          <w:szCs w:val="17"/>
          <w:color w:val="auto"/>
        </w:rPr>
        <w:t>. The Company will not become a party to any Common Stock Change Event unless its terms are consistent with this</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7" w:name="page118"/>
    <w:bookmarkEnd w:id="117"/>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5.10.</w:t>
      </w:r>
      <w:r>
        <w:rPr>
          <w:sz w:val="20"/>
          <w:szCs w:val="20"/>
          <w:color w:val="auto"/>
        </w:rPr>
        <w:tab/>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eerfield</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olders</w:t>
      </w:r>
      <w:r>
        <w:rPr>
          <w:rFonts w:ascii="Times New Roman" w:cs="Times New Roman" w:eastAsia="Times New Roman" w:hAnsi="Times New Roman"/>
          <w:sz w:val="17"/>
          <w:szCs w:val="17"/>
          <w:b w:val="1"/>
          <w:bCs w:val="1"/>
          <w:color w:val="auto"/>
        </w:rPr>
        <w:t>’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imitations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59" w:lineRule="auto"/>
        <w:tabs>
          <w:tab w:leader="none" w:pos="123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and subject to </w:t>
      </w:r>
      <w:r>
        <w:rPr>
          <w:rFonts w:ascii="Times New Roman" w:cs="Times New Roman" w:eastAsia="Times New Roman" w:hAnsi="Times New Roman"/>
          <w:sz w:val="17"/>
          <w:szCs w:val="17"/>
          <w:b w:val="1"/>
          <w:bCs w:val="1"/>
          <w:color w:val="auto"/>
        </w:rPr>
        <w:t>Section 5.10(B)</w:t>
      </w:r>
      <w:r>
        <w:rPr>
          <w:rFonts w:ascii="Times New Roman" w:cs="Times New Roman" w:eastAsia="Times New Roman" w:hAnsi="Times New Roman"/>
          <w:sz w:val="17"/>
          <w:szCs w:val="17"/>
          <w:color w:val="auto"/>
        </w:rPr>
        <w:t xml:space="preserve">, the Company shall not issue to any Deerfield Holder (which for purposes of this </w:t>
      </w:r>
      <w:r>
        <w:rPr>
          <w:rFonts w:ascii="Times New Roman" w:cs="Times New Roman" w:eastAsia="Times New Roman" w:hAnsi="Times New Roman"/>
          <w:sz w:val="17"/>
          <w:szCs w:val="17"/>
          <w:b w:val="1"/>
          <w:bCs w:val="1"/>
          <w:color w:val="auto"/>
        </w:rPr>
        <w:t>Section 5.10</w:t>
      </w:r>
      <w:r>
        <w:rPr>
          <w:rFonts w:ascii="Times New Roman" w:cs="Times New Roman" w:eastAsia="Times New Roman" w:hAnsi="Times New Roman"/>
          <w:sz w:val="17"/>
          <w:szCs w:val="17"/>
          <w:color w:val="auto"/>
        </w:rPr>
        <w:t xml:space="preserve"> in the case of a Global Note shall mean a holder of a beneficial interest herein), and no Deerfield Holder may acquire, a number of shares of Common Stock upon any conversion of a Note or otherwise acquire any shares of Common Stock pursuant hereto or any Note to the extent that, upon such conversion, the number of shares of Common Stock then beneficially owned by such Deerfield Holder and its Affiliates and any other persons or entities whose beneficial ownership of Common Stock would be aggregated with such Deerfield Holder’s for purposes of Section 13(d) of the Exchange Act (including shares held by any “group” of which such Deerfield Holder is a member, but excluding shares beneficially owned by virtue of the ownership of securities or rights to acquire securities that have limitations on the right to convert, exercise or purchase similar to the limitation set forth hereinafter) would exceed 4.95% of the total number of shares of Common Stock then issued and outstanding (the “</w:t>
      </w:r>
      <w:r>
        <w:rPr>
          <w:rFonts w:ascii="Times New Roman" w:cs="Times New Roman" w:eastAsia="Times New Roman" w:hAnsi="Times New Roman"/>
          <w:sz w:val="17"/>
          <w:szCs w:val="17"/>
          <w:b w:val="1"/>
          <w:bCs w:val="1"/>
          <w:color w:val="auto"/>
        </w:rPr>
        <w:t>Beneficial Ownership Cap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Beneficial Ownership Cap shall not apply to the extent that the Common Stock is not deemed to constitute an “equity security” pursuant to Rule 13d-1(i) under the Exchange Act. Each delivery of a Conversion Notice by a Deerfield Holder will constitute a representation by such Deerfield Holder that it has evaluated the limitation set forth in this </w:t>
      </w:r>
      <w:r>
        <w:rPr>
          <w:rFonts w:ascii="Times New Roman" w:cs="Times New Roman" w:eastAsia="Times New Roman" w:hAnsi="Times New Roman"/>
          <w:sz w:val="17"/>
          <w:szCs w:val="17"/>
          <w:b w:val="1"/>
          <w:bCs w:val="1"/>
          <w:color w:val="auto"/>
        </w:rPr>
        <w:t>Section 5.10</w:t>
      </w:r>
      <w:r>
        <w:rPr>
          <w:rFonts w:ascii="Times New Roman" w:cs="Times New Roman" w:eastAsia="Times New Roman" w:hAnsi="Times New Roman"/>
          <w:sz w:val="17"/>
          <w:szCs w:val="17"/>
          <w:color w:val="auto"/>
        </w:rPr>
        <w:t xml:space="preserve"> and determined that the issuance of the number of shares of Common Stock requested in such Conversion Notice is permitted under this section. For purposes hereof, “group” has the meaning set forth in Section 13(d) of the Exchange Act and applicable regulations of the SEC, and the percentage beneficially owned by such Deerfield Holder shall be determined in a manner consistent with the provisions of Section 13(d) of the Exchange Act. For purposes hereof, each Deerfield Holder may rely on the number of outstanding shares of Common Stock as set forth in the Company’s most recent annual report filed with the SEC, or any interim report filed by the Company with the SEC subsequent thereto, in each case, unless the Company has confirmed to such Deerfield Holder the number of shares of Common Stock outstanding as provided in the next sentence (in which case such Deerfield Holder may rely upon such confirmation). Upon the written request of a Deerfield Holder, the Company shall, within two (2) Trading Days, confirm orally and in writing to such Deerfield Holder the number of shares of Common Stock then outstanding. Neither the Trustee nor the Conversion Agent shall have any obligation to make any determination in connection with the foregoing. For the avoidance of doubt, the Beneficial Ownership Cap shall not apply to any Holder that is not a Deerfield Holder.</w:t>
      </w:r>
    </w:p>
    <w:p>
      <w:pPr>
        <w:spacing w:after="0" w:line="387" w:lineRule="exact"/>
        <w:rPr>
          <w:rFonts w:ascii="Times New Roman" w:cs="Times New Roman" w:eastAsia="Times New Roman" w:hAnsi="Times New Roman"/>
          <w:sz w:val="17"/>
          <w:szCs w:val="17"/>
          <w:color w:val="auto"/>
        </w:rPr>
      </w:pPr>
    </w:p>
    <w:p>
      <w:pPr>
        <w:jc w:val="both"/>
        <w:ind w:left="-20" w:firstLine="633"/>
        <w:spacing w:after="0" w:line="269" w:lineRule="auto"/>
        <w:tabs>
          <w:tab w:leader="none" w:pos="123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b w:val="1"/>
          <w:bCs w:val="1"/>
          <w:color w:val="auto"/>
        </w:rPr>
        <w:t>Section 5.10(A)</w:t>
      </w:r>
      <w:r>
        <w:rPr>
          <w:rFonts w:ascii="Times New Roman" w:cs="Times New Roman" w:eastAsia="Times New Roman" w:hAnsi="Times New Roman"/>
          <w:sz w:val="17"/>
          <w:szCs w:val="17"/>
          <w:color w:val="auto"/>
        </w:rPr>
        <w:t xml:space="preserve">, the Beneficial Ownership Cap shall be disregarded (i) for purposes of determining the stock reserve under </w:t>
      </w:r>
      <w:r>
        <w:rPr>
          <w:rFonts w:ascii="Times New Roman" w:cs="Times New Roman" w:eastAsia="Times New Roman" w:hAnsi="Times New Roman"/>
          <w:sz w:val="17"/>
          <w:szCs w:val="17"/>
          <w:b w:val="1"/>
          <w:bCs w:val="1"/>
          <w:color w:val="auto"/>
        </w:rPr>
        <w:t xml:space="preserve">Section 5.04 </w:t>
      </w:r>
      <w:r>
        <w:rPr>
          <w:rFonts w:ascii="Times New Roman" w:cs="Times New Roman" w:eastAsia="Times New Roman" w:hAnsi="Times New Roman"/>
          <w:sz w:val="17"/>
          <w:szCs w:val="17"/>
          <w:color w:val="auto"/>
        </w:rPr>
        <w:t>and (ii) in determining the number, kind and amount of securities, cash or other property that a Deerfield Holder would be entitled to receive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 of shares of Common Stock or Reference Property as a result of any Fundamental Change, Make-Whole Fundamental Change, or subdivision or combination of the Common Stock for purposes of the adjustment or operation required under </w:t>
      </w:r>
      <w:r>
        <w:rPr>
          <w:rFonts w:ascii="Times New Roman" w:cs="Times New Roman" w:eastAsia="Times New Roman" w:hAnsi="Times New Roman"/>
          <w:sz w:val="17"/>
          <w:szCs w:val="17"/>
          <w:b w:val="1"/>
          <w:bCs w:val="1"/>
          <w:color w:val="auto"/>
        </w:rPr>
        <w:t>Section 5.05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5.</w:t>
      </w:r>
      <w:r>
        <w:rPr>
          <w:rFonts w:ascii="Times New Roman" w:cs="Times New Roman" w:eastAsia="Times New Roman" w:hAnsi="Times New Roman"/>
          <w:sz w:val="17"/>
          <w:szCs w:val="17"/>
          <w:color w:val="auto"/>
        </w:rPr>
        <w:t xml:space="preserve">06, Section </w:t>
      </w:r>
      <w:r>
        <w:rPr>
          <w:rFonts w:ascii="Times New Roman" w:cs="Times New Roman" w:eastAsia="Times New Roman" w:hAnsi="Times New Roman"/>
          <w:sz w:val="17"/>
          <w:szCs w:val="17"/>
          <w:b w:val="1"/>
          <w:bCs w:val="1"/>
          <w:color w:val="auto"/>
        </w:rPr>
        <w:t>5.07, Section 5.08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5.09</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9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SUCCESSORS</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6.01.</w:t>
      </w:r>
      <w:r>
        <w:rPr>
          <w:sz w:val="20"/>
          <w:szCs w:val="20"/>
          <w:color w:val="auto"/>
        </w:rPr>
        <w:tab/>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hen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erge</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1"/>
          <w:szCs w:val="11"/>
          <w:b w:val="1"/>
          <w:bCs w:val="1"/>
          <w:color w:val="auto"/>
        </w:rPr>
        <w:t>tc</w:t>
      </w:r>
      <w:r>
        <w:rPr>
          <w:rFonts w:ascii="Times New Roman" w:cs="Times New Roman" w:eastAsia="Times New Roman" w:hAnsi="Times New Roman"/>
          <w:sz w:val="17"/>
          <w:szCs w:val="17"/>
          <w:b w:val="1"/>
          <w:bCs w:val="1"/>
          <w:color w:val="auto"/>
        </w:rPr>
        <w:t>.</w:t>
      </w:r>
    </w:p>
    <w:p>
      <w:pPr>
        <w:spacing w:after="0" w:line="223" w:lineRule="exact"/>
        <w:rPr>
          <w:sz w:val="20"/>
          <w:szCs w:val="20"/>
          <w:color w:val="auto"/>
        </w:rPr>
      </w:pPr>
    </w:p>
    <w:p>
      <w:pPr>
        <w:jc w:val="both"/>
        <w:ind w:firstLine="633"/>
        <w:spacing w:after="0" w:line="277" w:lineRule="auto"/>
        <w:tabs>
          <w:tab w:leader="none" w:pos="1256"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The Company will not consolidate with or merge with or into, or (directly, or indirectly through one or more of its Subsidiaries)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17"/>
          <w:szCs w:val="17"/>
          <w:b w:val="1"/>
          <w:bCs w:val="1"/>
          <w:color w:val="auto"/>
        </w:rPr>
        <w:t>Business Combination Event</w:t>
      </w:r>
      <w:r>
        <w:rPr>
          <w:rFonts w:ascii="Times New Roman" w:cs="Times New Roman" w:eastAsia="Times New Roman" w:hAnsi="Times New Roman"/>
          <w:sz w:val="17"/>
          <w:szCs w:val="17"/>
          <w:color w:val="auto"/>
        </w:rPr>
        <w:t>”), unless:</w:t>
      </w:r>
    </w:p>
    <w:p>
      <w:pPr>
        <w:spacing w:after="0" w:line="162" w:lineRule="exact"/>
        <w:rPr>
          <w:rFonts w:ascii="Times New Roman" w:cs="Times New Roman" w:eastAsia="Times New Roman" w:hAnsi="Times New Roman"/>
          <w:sz w:val="17"/>
          <w:szCs w:val="17"/>
          <w:color w:val="auto"/>
        </w:rPr>
      </w:pPr>
    </w:p>
    <w:p>
      <w:pPr>
        <w:jc w:val="both"/>
        <w:ind w:left="640" w:firstLine="621"/>
        <w:spacing w:after="0" w:line="264" w:lineRule="auto"/>
        <w:tabs>
          <w:tab w:leader="none" w:pos="189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resulting, surviving or transferee Person either (x) is the Company or (y) if not the Company, is a corporation (or, if such Business Combination Event is an Exempted Fundamental Change, is a corporation, limited liability company, limited partnership or other similar entity) (the “</w:t>
      </w:r>
      <w:r>
        <w:rPr>
          <w:rFonts w:ascii="Times New Roman" w:cs="Times New Roman" w:eastAsia="Times New Roman" w:hAnsi="Times New Roman"/>
          <w:sz w:val="17"/>
          <w:szCs w:val="17"/>
          <w:b w:val="1"/>
          <w:bCs w:val="1"/>
          <w:color w:val="auto"/>
        </w:rPr>
        <w:t>Successor Entity</w:t>
      </w:r>
      <w:r>
        <w:rPr>
          <w:rFonts w:ascii="Times New Roman" w:cs="Times New Roman" w:eastAsia="Times New Roman" w:hAnsi="Times New Roman"/>
          <w:sz w:val="17"/>
          <w:szCs w:val="17"/>
          <w:color w:val="auto"/>
        </w:rPr>
        <w:t xml:space="preserve">”) duly organized and existing under the laws of the United States of America, any State thereof or the District of Columbia that expressly assumes (by executing and delivering to the Trustee and the Collateral Agent, at or before the effective time of such Business Combination Event, a supplemental indenture pursuant to </w:t>
      </w:r>
      <w:r>
        <w:rPr>
          <w:rFonts w:ascii="Times New Roman" w:cs="Times New Roman" w:eastAsia="Times New Roman" w:hAnsi="Times New Roman"/>
          <w:sz w:val="17"/>
          <w:szCs w:val="17"/>
          <w:b w:val="1"/>
          <w:bCs w:val="1"/>
          <w:color w:val="auto"/>
        </w:rPr>
        <w:t>Section 8.01(E)</w:t>
      </w:r>
      <w:r>
        <w:rPr>
          <w:rFonts w:ascii="Times New Roman" w:cs="Times New Roman" w:eastAsia="Times New Roman" w:hAnsi="Times New Roman"/>
          <w:sz w:val="17"/>
          <w:szCs w:val="17"/>
          <w:color w:val="auto"/>
        </w:rPr>
        <w:t xml:space="preserve"> or other amendments or supplements) all of the Company’s obligations under this Indenture, the Notes and Collateral Documents; and</w:t>
      </w:r>
    </w:p>
    <w:p>
      <w:pPr>
        <w:spacing w:after="0" w:line="17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Business Combination Event, no Default or Event of Default will have occurred and be</w:t>
      </w:r>
    </w:p>
    <w:p>
      <w:pPr>
        <w:spacing w:after="0" w:line="31"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w:t>
      </w:r>
    </w:p>
    <w:p>
      <w:pPr>
        <w:spacing w:after="0" w:line="203"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Officer’s Certificate and Opinion of Counsel to the Trustee and Collateral Agent</w:t>
      </w:r>
      <w:r>
        <w:rPr>
          <w:rFonts w:ascii="Times New Roman" w:cs="Times New Roman" w:eastAsia="Times New Roman" w:hAnsi="Times New Roman"/>
          <w:sz w:val="17"/>
          <w:szCs w:val="17"/>
          <w:color w:val="auto"/>
        </w:rPr>
        <w:t>. Before the effective time of any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Combination Event, the Company will deliver to the Trustee and Collateral Agent an Officer’s Certificate and Opinion of Counsel to the Trustee and Collateral Agent, each stating that (i) such Business Combination Event (and, if applicable, the related supplemental indenture) comply with </w:t>
      </w:r>
      <w:r>
        <w:rPr>
          <w:rFonts w:ascii="Times New Roman" w:cs="Times New Roman" w:eastAsia="Times New Roman" w:hAnsi="Times New Roman"/>
          <w:sz w:val="17"/>
          <w:szCs w:val="17"/>
          <w:b w:val="1"/>
          <w:bCs w:val="1"/>
          <w:color w:val="auto"/>
        </w:rPr>
        <w:t>Section 6.01(A)</w:t>
      </w:r>
      <w:r>
        <w:rPr>
          <w:rFonts w:ascii="Times New Roman" w:cs="Times New Roman" w:eastAsia="Times New Roman" w:hAnsi="Times New Roman"/>
          <w:sz w:val="17"/>
          <w:szCs w:val="17"/>
          <w:color w:val="auto"/>
        </w:rPr>
        <w:t>; and (ii) all conditions precedent to such Business Combination Event provided in this Indenture have been satisfied.</w:t>
      </w:r>
    </w:p>
    <w:p>
      <w:pPr>
        <w:spacing w:after="0" w:line="16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6.02.</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uccessor</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ntity</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ubstituted</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At the effective time of any Business Combination Event that complies with </w:t>
      </w:r>
      <w:r>
        <w:rPr>
          <w:rFonts w:ascii="Times New Roman" w:cs="Times New Roman" w:eastAsia="Times New Roman" w:hAnsi="Times New Roman"/>
          <w:sz w:val="17"/>
          <w:szCs w:val="17"/>
          <w:b w:val="1"/>
          <w:bCs w:val="1"/>
          <w:color w:val="auto"/>
        </w:rPr>
        <w:t>Section 6.01</w:t>
      </w:r>
      <w:r>
        <w:rPr>
          <w:rFonts w:ascii="Times New Roman" w:cs="Times New Roman" w:eastAsia="Times New Roman" w:hAnsi="Times New Roman"/>
          <w:sz w:val="17"/>
          <w:szCs w:val="17"/>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DEFAULTS AND REMEDIES</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7.01.</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vents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efault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60" w:hanging="627"/>
        <w:spacing w:after="0"/>
        <w:tabs>
          <w:tab w:leader="none" w:pos="12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Definition of Events of Default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means the occurrence of any of the following:</w:t>
      </w:r>
    </w:p>
    <w:p>
      <w:pPr>
        <w:spacing w:after="0" w:line="22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payment when due (whether at maturity, upon Repurchase Upon Fundamental Change or otherwise) of the principal of, or Fundamental Change Repurchase Price for, any Note;</w:t>
      </w:r>
    </w:p>
    <w:p>
      <w:pPr>
        <w:spacing w:after="0" w:line="14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for five (5) Business Days in the payment when due of interest on any Note;</w:t>
      </w:r>
    </w:p>
    <w:p>
      <w:pPr>
        <w:spacing w:after="0" w:line="223"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failure to deliver, when required by this Indenture, a Fundamental Change Notice, if such failure is not cured within three (3) Business Days after its occurrence;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9" w:name="page120"/>
    <w:bookmarkEnd w:id="119"/>
    <w:p>
      <w:pPr>
        <w:ind w:firstLine="621"/>
        <w:spacing w:after="0" w:line="298" w:lineRule="auto"/>
        <w:tabs>
          <w:tab w:leader="none" w:pos="125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default in the Company’s obligation to convert a Note in accordance with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upon the exercise of the conversion right with respect thereto, if such default is not cured within three (3) Business Days after its occurrence;</w:t>
      </w:r>
    </w:p>
    <w:p>
      <w:pPr>
        <w:spacing w:after="0" w:line="142" w:lineRule="exact"/>
        <w:rPr>
          <w:rFonts w:ascii="Times New Roman" w:cs="Times New Roman" w:eastAsia="Times New Roman" w:hAnsi="Times New Roman"/>
          <w:sz w:val="17"/>
          <w:szCs w:val="17"/>
          <w:color w:val="auto"/>
        </w:rPr>
      </w:pPr>
    </w:p>
    <w:p>
      <w:pPr>
        <w:ind w:firstLine="621"/>
        <w:spacing w:after="0" w:line="298" w:lineRule="auto"/>
        <w:tabs>
          <w:tab w:leader="none" w:pos="125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default in the Company’s obligations under </w:t>
      </w:r>
      <w:r>
        <w:rPr>
          <w:rFonts w:ascii="Times New Roman" w:cs="Times New Roman" w:eastAsia="Times New Roman" w:hAnsi="Times New Roman"/>
          <w:sz w:val="17"/>
          <w:szCs w:val="17"/>
          <w:b w:val="1"/>
          <w:bCs w:val="1"/>
          <w:color w:val="auto"/>
        </w:rPr>
        <w:t>Article 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Sections 3.08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3.24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3.25</w:t>
      </w:r>
      <w:r>
        <w:rPr>
          <w:rFonts w:ascii="Times New Roman" w:cs="Times New Roman" w:eastAsia="Times New Roman" w:hAnsi="Times New Roman"/>
          <w:sz w:val="17"/>
          <w:szCs w:val="17"/>
          <w:color w:val="auto"/>
        </w:rPr>
        <w:t>, or</w:t>
      </w:r>
      <w:r>
        <w:rPr>
          <w:rFonts w:ascii="Times New Roman" w:cs="Times New Roman" w:eastAsia="Times New Roman" w:hAnsi="Times New Roman"/>
          <w:sz w:val="17"/>
          <w:szCs w:val="17"/>
          <w:b w:val="1"/>
          <w:bCs w:val="1"/>
          <w:color w:val="auto"/>
        </w:rPr>
        <w:t xml:space="preserve"> 3.33</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621"/>
        <w:spacing w:after="0" w:line="264" w:lineRule="auto"/>
        <w:tabs>
          <w:tab w:leader="none" w:pos="125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default in any of the Company and its Subsidiaries’ obligations or agreements under this Indenture or the Notes (other than a default set forth in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b w:val="1"/>
          <w:bCs w:val="1"/>
          <w:color w:val="auto"/>
        </w:rPr>
        <w:t>Section 7.01(A)</w:t>
      </w:r>
      <w:r>
        <w:rPr>
          <w:rFonts w:ascii="Times New Roman" w:cs="Times New Roman" w:eastAsia="Times New Roman" w:hAnsi="Times New Roman"/>
          <w:sz w:val="17"/>
          <w:szCs w:val="17"/>
          <w:color w:val="auto"/>
        </w:rPr>
        <w:t xml:space="preserve">) where such default is not cured or waived within thirty (30)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no such cure period in this </w:t>
      </w:r>
      <w:r>
        <w:rPr>
          <w:rFonts w:ascii="Times New Roman" w:cs="Times New Roman" w:eastAsia="Times New Roman" w:hAnsi="Times New Roman"/>
          <w:sz w:val="17"/>
          <w:szCs w:val="17"/>
          <w:b w:val="1"/>
          <w:bCs w:val="1"/>
          <w:color w:val="auto"/>
        </w:rPr>
        <w:t>Section 7.01(A)(vi)</w:t>
      </w:r>
      <w:r>
        <w:rPr>
          <w:rFonts w:ascii="Times New Roman" w:cs="Times New Roman" w:eastAsia="Times New Roman" w:hAnsi="Times New Roman"/>
          <w:sz w:val="17"/>
          <w:szCs w:val="17"/>
          <w:color w:val="auto"/>
        </w:rPr>
        <w:t xml:space="preserve"> shall apply with respect to any provision or covenant that by its inherent nature cannot be cured upon being violated or breached;</w:t>
      </w:r>
    </w:p>
    <w:p>
      <w:pPr>
        <w:spacing w:after="0" w:line="175" w:lineRule="exact"/>
        <w:rPr>
          <w:rFonts w:ascii="Times New Roman" w:cs="Times New Roman" w:eastAsia="Times New Roman" w:hAnsi="Times New Roman"/>
          <w:sz w:val="17"/>
          <w:szCs w:val="17"/>
          <w:color w:val="auto"/>
        </w:rPr>
      </w:pPr>
    </w:p>
    <w:p>
      <w:pPr>
        <w:jc w:val="both"/>
        <w:ind w:firstLine="621"/>
        <w:spacing w:after="0" w:line="270" w:lineRule="auto"/>
        <w:tabs>
          <w:tab w:leader="none" w:pos="125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by the Company or any of the Company’s Subsidiaries with respect to any one or more mortgages, agreements or other instruments under which there is outstanding, or by which there is secured or evidenced, any indebtedness for money borrowed of at least fifteen million dollars ($15,000,000) (or its foreign currency equivalent) in the aggregate of the Company or any of the Company’s Subsidiaries, whether such indebtedness exists as of the Issue Date or is thereafter created, where such default:</w:t>
      </w:r>
    </w:p>
    <w:p>
      <w:pPr>
        <w:spacing w:after="0" w:line="167" w:lineRule="exact"/>
        <w:rPr>
          <w:rFonts w:ascii="Times New Roman" w:cs="Times New Roman" w:eastAsia="Times New Roman" w:hAnsi="Times New Roman"/>
          <w:sz w:val="17"/>
          <w:szCs w:val="17"/>
          <w:color w:val="auto"/>
        </w:rPr>
      </w:pPr>
    </w:p>
    <w:p>
      <w:pPr>
        <w:ind w:firstLine="1249"/>
        <w:spacing w:after="0" w:line="296" w:lineRule="auto"/>
        <w:tabs>
          <w:tab w:leader="none" w:pos="1884"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45" w:lineRule="exact"/>
        <w:rPr>
          <w:rFonts w:ascii="Times New Roman" w:cs="Times New Roman" w:eastAsia="Times New Roman" w:hAnsi="Times New Roman"/>
          <w:sz w:val="17"/>
          <w:szCs w:val="17"/>
          <w:color w:val="auto"/>
        </w:rPr>
      </w:pPr>
    </w:p>
    <w:p>
      <w:pPr>
        <w:ind w:left="1880" w:hanging="631"/>
        <w:spacing w:after="0"/>
        <w:tabs>
          <w:tab w:leader="none" w:pos="188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in such indebtedness becoming or being declared due and payable before its stated maturity,</w:t>
      </w:r>
    </w:p>
    <w:p>
      <w:pPr>
        <w:spacing w:after="0" w:line="22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46" w:lineRule="exact"/>
        <w:rPr>
          <w:sz w:val="20"/>
          <w:szCs w:val="20"/>
          <w:color w:val="auto"/>
        </w:rPr>
      </w:pPr>
    </w:p>
    <w:p>
      <w:pPr>
        <w:jc w:val="both"/>
        <w:ind w:firstLine="621"/>
        <w:spacing w:after="0" w:line="270" w:lineRule="auto"/>
        <w:tabs>
          <w:tab w:leader="none" w:pos="125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final judgments being rendered against the Company, any other Note Party or any of the Company’s Significant Subsidiary for the payment of at least fifteen million dollars ($15,000,000) (or its foreign currency equivalent) in the aggregate (excluding any amounts covered by insurance), where such judgment is not discharged or stayed within sixty (60) days after (i) the date on which the right to appeal the same has expired, if no such appeal has commenced; or (ii) the date on which all rights to appeal have been extinguished;</w:t>
      </w:r>
    </w:p>
    <w:p>
      <w:pPr>
        <w:spacing w:after="0" w:line="167" w:lineRule="exact"/>
        <w:rPr>
          <w:rFonts w:ascii="Times New Roman" w:cs="Times New Roman" w:eastAsia="Times New Roman" w:hAnsi="Times New Roman"/>
          <w:sz w:val="17"/>
          <w:szCs w:val="17"/>
          <w:color w:val="auto"/>
        </w:rPr>
      </w:pPr>
    </w:p>
    <w:p>
      <w:pPr>
        <w:ind w:left="1240" w:hanging="619"/>
        <w:spacing w:after="0"/>
        <w:tabs>
          <w:tab w:leader="none" w:pos="12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of its Significant Subsidiaries, pursuant to or within the meaning of any Bankruptcy Law, either:</w:t>
      </w:r>
    </w:p>
    <w:p>
      <w:pPr>
        <w:spacing w:after="0" w:line="223" w:lineRule="exact"/>
        <w:rPr>
          <w:rFonts w:ascii="Times New Roman" w:cs="Times New Roman" w:eastAsia="Times New Roman" w:hAnsi="Times New Roman"/>
          <w:sz w:val="17"/>
          <w:szCs w:val="17"/>
          <w:color w:val="auto"/>
        </w:rPr>
      </w:pPr>
    </w:p>
    <w:p>
      <w:pPr>
        <w:ind w:left="1880" w:hanging="631"/>
        <w:spacing w:after="0"/>
        <w:tabs>
          <w:tab w:leader="none" w:pos="188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commences a voluntary case or proceeding;</w:t>
      </w:r>
    </w:p>
    <w:p>
      <w:pPr>
        <w:spacing w:after="0" w:line="223" w:lineRule="exact"/>
        <w:rPr>
          <w:rFonts w:ascii="Times New Roman" w:cs="Times New Roman" w:eastAsia="Times New Roman" w:hAnsi="Times New Roman"/>
          <w:sz w:val="17"/>
          <w:szCs w:val="17"/>
          <w:color w:val="auto"/>
        </w:rPr>
      </w:pPr>
    </w:p>
    <w:p>
      <w:pPr>
        <w:ind w:left="1880" w:hanging="631"/>
        <w:spacing w:after="0"/>
        <w:tabs>
          <w:tab w:leader="none" w:pos="188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entry of an order for relief against it in an involuntary case or proceeding;</w:t>
      </w:r>
    </w:p>
    <w:p>
      <w:pPr>
        <w:spacing w:after="0" w:line="223" w:lineRule="exact"/>
        <w:rPr>
          <w:rFonts w:ascii="Times New Roman" w:cs="Times New Roman" w:eastAsia="Times New Roman" w:hAnsi="Times New Roman"/>
          <w:sz w:val="17"/>
          <w:szCs w:val="17"/>
          <w:color w:val="auto"/>
        </w:rPr>
      </w:pPr>
    </w:p>
    <w:p>
      <w:pPr>
        <w:ind w:left="1880" w:hanging="631"/>
        <w:spacing w:after="0"/>
        <w:tabs>
          <w:tab w:leader="none" w:pos="188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appointment of a custodian of it or for any substantial part of its property;</w:t>
      </w:r>
    </w:p>
    <w:p>
      <w:pPr>
        <w:spacing w:after="0" w:line="223" w:lineRule="exact"/>
        <w:rPr>
          <w:rFonts w:ascii="Times New Roman" w:cs="Times New Roman" w:eastAsia="Times New Roman" w:hAnsi="Times New Roman"/>
          <w:sz w:val="17"/>
          <w:szCs w:val="17"/>
          <w:color w:val="auto"/>
        </w:rPr>
      </w:pPr>
    </w:p>
    <w:p>
      <w:pPr>
        <w:ind w:left="1880" w:hanging="631"/>
        <w:spacing w:after="0"/>
        <w:tabs>
          <w:tab w:leader="none" w:pos="188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 general assignment for the benefit of its creditors;</w:t>
      </w:r>
    </w:p>
    <w:p>
      <w:pPr>
        <w:spacing w:after="0" w:line="223" w:lineRule="exact"/>
        <w:rPr>
          <w:rFonts w:ascii="Times New Roman" w:cs="Times New Roman" w:eastAsia="Times New Roman" w:hAnsi="Times New Roman"/>
          <w:sz w:val="17"/>
          <w:szCs w:val="17"/>
          <w:color w:val="auto"/>
        </w:rPr>
      </w:pPr>
    </w:p>
    <w:p>
      <w:pPr>
        <w:ind w:left="1880" w:hanging="631"/>
        <w:spacing w:after="0"/>
        <w:tabs>
          <w:tab w:leader="none" w:pos="188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takes any comparable action under any foreign Bankruptcy Law; or</w:t>
      </w:r>
    </w:p>
    <w:p>
      <w:pPr>
        <w:spacing w:after="0" w:line="223" w:lineRule="exact"/>
        <w:rPr>
          <w:rFonts w:ascii="Times New Roman" w:cs="Times New Roman" w:eastAsia="Times New Roman" w:hAnsi="Times New Roman"/>
          <w:sz w:val="17"/>
          <w:szCs w:val="17"/>
          <w:color w:val="auto"/>
        </w:rPr>
      </w:pPr>
    </w:p>
    <w:p>
      <w:pPr>
        <w:ind w:left="1880" w:hanging="631"/>
        <w:spacing w:after="0"/>
        <w:tabs>
          <w:tab w:leader="none" w:pos="188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is not paying its debts as they become due;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773" w:right="339" w:bottom="1440" w:gutter="0" w:footer="0" w:header="0"/>
        </w:sectPr>
      </w:pPr>
    </w:p>
    <w:bookmarkStart w:id="120" w:name="page121"/>
    <w:bookmarkEnd w:id="120"/>
    <w:p>
      <w:pPr>
        <w:ind w:left="1860" w:hanging="619"/>
        <w:spacing w:after="0"/>
        <w:tabs>
          <w:tab w:leader="none" w:pos="18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of competent jurisdiction enters an order or decree under any Bankruptcy Law that either:</w:t>
      </w:r>
    </w:p>
    <w:p>
      <w:pPr>
        <w:spacing w:after="0" w:line="223" w:lineRule="exact"/>
        <w:rPr>
          <w:rFonts w:ascii="Times New Roman" w:cs="Times New Roman" w:eastAsia="Times New Roman" w:hAnsi="Times New Roman"/>
          <w:sz w:val="17"/>
          <w:szCs w:val="17"/>
          <w:color w:val="auto"/>
        </w:rPr>
      </w:pPr>
    </w:p>
    <w:p>
      <w:pPr>
        <w:ind w:left="620" w:firstLine="1249"/>
        <w:spacing w:after="0" w:line="296" w:lineRule="auto"/>
        <w:tabs>
          <w:tab w:leader="none" w:pos="2504"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for relief against the Company or any other Note Party or any Significant Subsidiary (or group of Subsidiaries that would constitute a Significant Subsidiary) in an involuntary case or proceeding;</w:t>
      </w:r>
    </w:p>
    <w:p>
      <w:pPr>
        <w:spacing w:after="0" w:line="145" w:lineRule="exact"/>
        <w:rPr>
          <w:rFonts w:ascii="Times New Roman" w:cs="Times New Roman" w:eastAsia="Times New Roman" w:hAnsi="Times New Roman"/>
          <w:sz w:val="17"/>
          <w:szCs w:val="17"/>
          <w:color w:val="auto"/>
        </w:rPr>
      </w:pPr>
    </w:p>
    <w:p>
      <w:pPr>
        <w:jc w:val="both"/>
        <w:ind w:left="620" w:firstLine="1249"/>
        <w:spacing w:after="0" w:line="276" w:lineRule="auto"/>
        <w:tabs>
          <w:tab w:leader="none" w:pos="2504"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appoints a custodian of the Company or any other Note Party or any Significant Subsidiary (or group of Subsidiaries that would constitute a Significant Subsidiary), or for any substantial part of the property of the Company or any other Note Party or any Significant Subsidiary (or group of Subsidiaries that would constitute a Significant Subsidiary);</w:t>
      </w:r>
    </w:p>
    <w:p>
      <w:pPr>
        <w:spacing w:after="0" w:line="162" w:lineRule="exact"/>
        <w:rPr>
          <w:rFonts w:ascii="Times New Roman" w:cs="Times New Roman" w:eastAsia="Times New Roman" w:hAnsi="Times New Roman"/>
          <w:sz w:val="17"/>
          <w:szCs w:val="17"/>
          <w:color w:val="auto"/>
        </w:rPr>
      </w:pPr>
    </w:p>
    <w:p>
      <w:pPr>
        <w:ind w:left="620" w:firstLine="1249"/>
        <w:spacing w:after="0" w:line="296" w:lineRule="auto"/>
        <w:tabs>
          <w:tab w:leader="none" w:pos="2504"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the winding up or liquidation of the Company or any other Note Party or any Significant Subsidiary (or group of Subsidiaries that would constitute a Significant Subsidiary); or</w:t>
      </w:r>
    </w:p>
    <w:p>
      <w:pPr>
        <w:spacing w:after="0" w:line="145" w:lineRule="exact"/>
        <w:rPr>
          <w:rFonts w:ascii="Times New Roman" w:cs="Times New Roman" w:eastAsia="Times New Roman" w:hAnsi="Times New Roman"/>
          <w:sz w:val="17"/>
          <w:szCs w:val="17"/>
          <w:color w:val="auto"/>
        </w:rPr>
      </w:pPr>
    </w:p>
    <w:p>
      <w:pPr>
        <w:ind w:left="2500" w:hanging="631"/>
        <w:spacing w:after="0"/>
        <w:tabs>
          <w:tab w:leader="none" w:pos="2500"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any similar relief under any foreign Bankruptcy Law;</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and, in each case under this </w:t>
      </w:r>
      <w:r>
        <w:rPr>
          <w:rFonts w:ascii="Times New Roman" w:cs="Times New Roman" w:eastAsia="Times New Roman" w:hAnsi="Times New Roman"/>
          <w:sz w:val="17"/>
          <w:szCs w:val="17"/>
          <w:b w:val="1"/>
          <w:bCs w:val="1"/>
          <w:color w:val="auto"/>
        </w:rPr>
        <w:t>Section 7.01(A)(x)</w:t>
      </w:r>
      <w:r>
        <w:rPr>
          <w:rFonts w:ascii="Times New Roman" w:cs="Times New Roman" w:eastAsia="Times New Roman" w:hAnsi="Times New Roman"/>
          <w:sz w:val="17"/>
          <w:szCs w:val="17"/>
          <w:color w:val="auto"/>
        </w:rPr>
        <w:t>, such order or decree remains unstayed and in effect for at least sixty (60) days.</w:t>
      </w:r>
    </w:p>
    <w:p>
      <w:pPr>
        <w:spacing w:after="0" w:line="225" w:lineRule="exact"/>
        <w:rPr>
          <w:sz w:val="20"/>
          <w:szCs w:val="20"/>
          <w:color w:val="auto"/>
        </w:rPr>
      </w:pPr>
    </w:p>
    <w:p>
      <w:pPr>
        <w:jc w:val="both"/>
        <w:ind w:left="620" w:firstLine="621"/>
        <w:spacing w:after="0" w:line="262" w:lineRule="auto"/>
        <w:tabs>
          <w:tab w:leader="none" w:pos="187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Collateral Document, after delivery thereof pursuant hereto, shall for any reason fail or cease to create, or should be asserted by the Company or any Guarantor not to create, a valid and perfected and, except to the extent expressly permitted by the terms hereof or thereof, first priority lien in favor of the Collateral Agent for the benefit of the Secured Parties on any Collateral purported to be covered thereby other than (x) to the extent resulting from the failure of the Collateral Agent or any of its agents or bailees to maintain possession of Collateral, or (y) as to Collateral consisting of real property to the extent that (1) such losses are covered by a title insurance policy for the benefit of the Collateral Agent or (2) a deficiency arose through no fault of the Company or any Guarantor, in the case of each of clause (x) and (y), to the extent such deficiencies are (1) corrected with reasonable diligence upon obtaining knowledge thereof and (2) do not materially adversely affect the security interest of the Holders in the Collateral or (B) any Guarantee of any of the Obligations (including that contained in Article XI) shall for whatever reason cease to be in full force and effect.</w:t>
      </w:r>
    </w:p>
    <w:p>
      <w:pPr>
        <w:spacing w:after="0" w:line="384" w:lineRule="exact"/>
        <w:rPr>
          <w:rFonts w:ascii="Times New Roman" w:cs="Times New Roman" w:eastAsia="Times New Roman" w:hAnsi="Times New Roman"/>
          <w:sz w:val="17"/>
          <w:szCs w:val="17"/>
          <w:color w:val="auto"/>
        </w:rPr>
      </w:pPr>
    </w:p>
    <w:p>
      <w:pPr>
        <w:jc w:val="both"/>
        <w:ind w:left="-20" w:firstLine="633"/>
        <w:spacing w:after="0" w:line="277" w:lineRule="auto"/>
        <w:tabs>
          <w:tab w:leader="none" w:pos="1236"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Cause Irrelevant</w:t>
      </w:r>
      <w:r>
        <w:rPr>
          <w:rFonts w:ascii="Times New Roman" w:cs="Times New Roman" w:eastAsia="Times New Roman" w:hAnsi="Times New Roman"/>
          <w:sz w:val="17"/>
          <w:szCs w:val="17"/>
          <w:color w:val="auto"/>
        </w:rPr>
        <w:t>. Each of the events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7.01(A)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constitute an Event of Default regardless of the cause thereof or whether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voluntary or involuntary or effected by operation of law or pursuant to any judgment, decree or order of any court or any order, rule or regulation of any administrative or governmental body.</w:t>
      </w:r>
    </w:p>
    <w:p>
      <w:pPr>
        <w:spacing w:after="0" w:line="160"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7.02.</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cceleration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77" w:lineRule="auto"/>
        <w:tabs>
          <w:tab w:leader="none" w:pos="123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Automatic Acceleration in Certain Circumstances</w:t>
      </w:r>
      <w:r>
        <w:rPr>
          <w:rFonts w:ascii="Times New Roman" w:cs="Times New Roman" w:eastAsia="Times New Roman" w:hAnsi="Times New Roman"/>
          <w:sz w:val="17"/>
          <w:szCs w:val="17"/>
          <w:color w:val="auto"/>
        </w:rPr>
        <w:t>. If an Event of Default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7.01(A)(ix)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7.01(A)(x)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occurs with respect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60" w:lineRule="exact"/>
        <w:rPr>
          <w:rFonts w:ascii="Times New Roman" w:cs="Times New Roman" w:eastAsia="Times New Roman" w:hAnsi="Times New Roman"/>
          <w:sz w:val="17"/>
          <w:szCs w:val="17"/>
          <w:color w:val="auto"/>
        </w:rPr>
      </w:pPr>
    </w:p>
    <w:p>
      <w:pPr>
        <w:jc w:val="both"/>
        <w:ind w:left="-20" w:firstLine="633"/>
        <w:spacing w:after="0" w:line="270" w:lineRule="auto"/>
        <w:tabs>
          <w:tab w:leader="none" w:pos="123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Optional Acceleration</w:t>
      </w:r>
      <w:r>
        <w:rPr>
          <w:rFonts w:ascii="Times New Roman" w:cs="Times New Roman" w:eastAsia="Times New Roman" w:hAnsi="Times New Roman"/>
          <w:sz w:val="17"/>
          <w:szCs w:val="17"/>
          <w:color w:val="auto"/>
        </w:rPr>
        <w:t>. If an Event of Default (other than an Event of Default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7.01(A)(ix)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7.01(A)(x)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67" w:lineRule="exact"/>
        <w:rPr>
          <w:rFonts w:ascii="Times New Roman" w:cs="Times New Roman" w:eastAsia="Times New Roman" w:hAnsi="Times New Roman"/>
          <w:sz w:val="17"/>
          <w:szCs w:val="17"/>
          <w:color w:val="auto"/>
        </w:rPr>
      </w:pPr>
    </w:p>
    <w:p>
      <w:pPr>
        <w:jc w:val="both"/>
        <w:ind w:left="-20" w:firstLine="633"/>
        <w:spacing w:after="0" w:line="267" w:lineRule="auto"/>
        <w:tabs>
          <w:tab w:leader="none" w:pos="123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Rescission of Acceleration</w:t>
      </w:r>
      <w:r>
        <w:rPr>
          <w:rFonts w:ascii="Times New Roman" w:cs="Times New Roman" w:eastAsia="Times New Roman" w:hAnsi="Times New Roman"/>
          <w:sz w:val="17"/>
          <w:szCs w:val="17"/>
          <w:color w:val="auto"/>
        </w:rPr>
        <w:t>. Notwithstanding anything to the contrary in this Indenture or the Notes, Required Holders, by notice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sectPr>
      </w:pPr>
    </w:p>
    <w:bookmarkStart w:id="121" w:name="page122"/>
    <w:bookmarkEnd w:id="121"/>
    <w:p>
      <w:pPr>
        <w:jc w:val="center"/>
        <w:ind w:left="640"/>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eserved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ectPr>
          <w:pgSz w:w="11900" w:h="16838" w:orient="portrait"/>
          <w:cols w:equalWidth="0" w:num="2">
            <w:col w:w="1580" w:space="620"/>
            <w:col w:w="9040"/>
          </w:cols>
          <w:pgMar w:left="320" w:top="773" w:right="339" w:bottom="1440" w:gutter="0" w:footer="0" w:header="0"/>
        </w:sectPr>
      </w:pPr>
    </w:p>
    <w:p>
      <w:pPr>
        <w:spacing w:after="0" w:line="2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7.04.</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1"/>
          <w:szCs w:val="11"/>
          <w:b w:val="1"/>
          <w:bCs w:val="1"/>
          <w:color w:val="auto"/>
        </w:rPr>
        <w:t>ther</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emedies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580" w:space="620"/>
            <w:col w:w="9040"/>
          </w:cols>
          <w:pgMar w:left="320" w:top="773" w:right="339" w:bottom="1440" w:gutter="0" w:footer="0" w:header="0"/>
          <w:type w:val="continuous"/>
        </w:sectPr>
      </w:pPr>
    </w:p>
    <w:p>
      <w:pPr>
        <w:spacing w:after="0" w:line="23" w:lineRule="exact"/>
        <w:rPr>
          <w:sz w:val="20"/>
          <w:szCs w:val="20"/>
          <w:color w:val="auto"/>
        </w:rPr>
      </w:pPr>
    </w:p>
    <w:p>
      <w:pPr>
        <w:ind w:firstLine="633"/>
        <w:spacing w:after="0" w:line="298" w:lineRule="auto"/>
        <w:tabs>
          <w:tab w:leader="none" w:pos="125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Trustee May Pursue All Remedies</w:t>
      </w:r>
      <w:r>
        <w:rPr>
          <w:rFonts w:ascii="Times New Roman" w:cs="Times New Roman" w:eastAsia="Times New Roman" w:hAnsi="Times New Roman"/>
          <w:sz w:val="17"/>
          <w:szCs w:val="17"/>
          <w:color w:val="auto"/>
        </w:rPr>
        <w:t>. If an Event of Default occurs and is continuing, then the Trustee may pursue any available remedy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 the payment of any amounts due with respect to the Notes or to enforce the performance of any provision of this Indenture or the Notes.</w:t>
      </w:r>
    </w:p>
    <w:p>
      <w:pPr>
        <w:spacing w:after="0" w:line="142"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Procedural Matters</w:t>
      </w:r>
      <w:r>
        <w:rPr>
          <w:rFonts w:ascii="Times New Roman" w:cs="Times New Roman" w:eastAsia="Times New Roman" w:hAnsi="Times New Roman"/>
          <w:sz w:val="17"/>
          <w:szCs w:val="17"/>
          <w:color w:val="auto"/>
        </w:rPr>
        <w:t>. The Trustee may maintain a proceeding even if it does not possess any of the Notes or does not produce any of them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6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7.05.</w:t>
      </w:r>
      <w:r>
        <w:rPr>
          <w:sz w:val="20"/>
          <w:szCs w:val="20"/>
          <w:color w:val="auto"/>
        </w:rPr>
        <w:tab/>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aiver of</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ast</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efaults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 xml:space="preserve">An Event of Default pursuant to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(vi)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Section 7.01(A)</w:t>
      </w:r>
      <w:r>
        <w:rPr>
          <w:rFonts w:ascii="Times New Roman" w:cs="Times New Roman" w:eastAsia="Times New Roman" w:hAnsi="Times New Roman"/>
          <w:sz w:val="17"/>
          <w:szCs w:val="17"/>
          <w:color w:val="auto"/>
        </w:rPr>
        <w:t xml:space="preserve"> (that, in the case of </w:t>
      </w:r>
      <w:r>
        <w:rPr>
          <w:rFonts w:ascii="Times New Roman" w:cs="Times New Roman" w:eastAsia="Times New Roman" w:hAnsi="Times New Roman"/>
          <w:sz w:val="17"/>
          <w:szCs w:val="17"/>
          <w:b w:val="1"/>
          <w:bCs w:val="1"/>
          <w:color w:val="auto"/>
        </w:rPr>
        <w:t>clause (vi)</w:t>
      </w:r>
      <w:r>
        <w:rPr>
          <w:rFonts w:ascii="Times New Roman" w:cs="Times New Roman" w:eastAsia="Times New Roman" w:hAnsi="Times New Roman"/>
          <w:sz w:val="17"/>
          <w:szCs w:val="17"/>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Required Holders.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6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7.06.</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ontrol by</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equired</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 xml:space="preserve">Required Holders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color w:val="auto"/>
        </w:rPr>
        <w:t>, the Trustee determines may be unduly prejudicial to the rights of other Holders or may involve the Trustee in liability, unless the Trustee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offered (and, if requested, provided with) security and indemnity satisfactory to the Trustee against any loss, liability or expense to the Trustee that may result from the Trustee’s following such direction.</w:t>
      </w:r>
    </w:p>
    <w:p>
      <w:pPr>
        <w:spacing w:after="0" w:line="17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7.07.</w:t>
      </w:r>
      <w:r>
        <w:rPr>
          <w:sz w:val="20"/>
          <w:szCs w:val="20"/>
          <w:color w:val="auto"/>
        </w:rPr>
        <w:tab/>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imitation 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uits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 Holder may pursue any remedy with respect to this Indenture or the Notes (except to enforce (x) its rights to receive the principal of, 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Fundamental Change Repurchase Price for, or interest on, any Notes; or (y) the Company’s obligations to convert any Notes pursuant to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unless:</w:t>
      </w:r>
    </w:p>
    <w:p>
      <w:pPr>
        <w:spacing w:after="0" w:line="205" w:lineRule="exact"/>
        <w:rPr>
          <w:sz w:val="20"/>
          <w:szCs w:val="20"/>
          <w:color w:val="auto"/>
        </w:rPr>
      </w:pPr>
    </w:p>
    <w:p>
      <w:pPr>
        <w:ind w:left="1260" w:hanging="627"/>
        <w:spacing w:after="0"/>
        <w:tabs>
          <w:tab w:leader="none" w:pos="12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previously delivered to the Trustee notice that an Event of Default is continuing;</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at least twenty five percent (25%) in aggregate principal amount of the Notes then outstanding deliver a request to the Trustee to pursue such remedy;</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4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does not comply with such request within sixty (60) calendar days after its receipt of such request and such offer of security or</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indemnity; and</w:t>
      </w:r>
    </w:p>
    <w:p>
      <w:pPr>
        <w:spacing w:after="0" w:line="20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such sixty (60) calendar day period, Required Holders do not deliver to the Trustee a direction that is inconsistent with such request.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2" w:name="page123"/>
    <w:bookmarkEnd w:id="122"/>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spacing w:after="0" w:line="144" w:lineRule="exact"/>
        <w:rPr>
          <w:sz w:val="20"/>
          <w:szCs w:val="20"/>
          <w:color w:val="auto"/>
        </w:rPr>
      </w:pPr>
    </w:p>
    <w:p>
      <w:pPr>
        <w:ind w:left="2200" w:hanging="1569"/>
        <w:spacing w:after="0" w:line="269" w:lineRule="auto"/>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7.08.</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bsolute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 of</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olders to</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nstitute</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uit for the</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nforcement of the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ayment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onsideration</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Indenture or the Notes (but without limiting </w:t>
      </w:r>
      <w:r>
        <w:rPr>
          <w:rFonts w:ascii="Times New Roman" w:cs="Times New Roman" w:eastAsia="Times New Roman" w:hAnsi="Times New Roman"/>
          <w:sz w:val="17"/>
          <w:szCs w:val="17"/>
          <w:b w:val="1"/>
          <w:bCs w:val="1"/>
          <w:color w:val="auto"/>
        </w:rPr>
        <w:t>Section 8.01</w:t>
      </w:r>
      <w:r>
        <w:rPr>
          <w:rFonts w:ascii="Times New Roman" w:cs="Times New Roman" w:eastAsia="Times New Roman" w:hAnsi="Times New Roman"/>
          <w:sz w:val="17"/>
          <w:szCs w:val="17"/>
          <w:color w:val="auto"/>
        </w:rPr>
        <w:t xml:space="preserve">), the right of each Holder of a Note to bring suit for the enforcement of any payment or delivery, as applicable, of the principal of, or the Fundamental Change Repurchase Price for, or any interest on, or the Conversion Consideration due pursuant to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upon conversion of, such Note on or after the respective due dates therefor provided in this Indenture and the Notes, will not be impaired or affected without the consent of such Holder.</w:t>
      </w:r>
    </w:p>
    <w:p>
      <w:pPr>
        <w:spacing w:after="0" w:line="16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7.09.</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ollection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uit by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 xml:space="preserve">The Trustee will have the right, upon the occurrence and continuance of an Event of Default pursuant to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Section 7.01(A)</w:t>
      </w:r>
      <w:r>
        <w:rPr>
          <w:rFonts w:ascii="Times New Roman" w:cs="Times New Roman" w:eastAsia="Times New Roman" w:hAnsi="Times New Roman"/>
          <w:sz w:val="17"/>
          <w:szCs w:val="17"/>
          <w:color w:val="auto"/>
        </w:rPr>
        <w:t xml:space="preserve">, to recover judgment in its own name and as trustee of an express trust against the Company for the total unpaid or undelivered principal of, or Fundamental Change Repurchase Price for, or interest on, or Conversion Consideration due pursuant to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7.10.</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ile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roofs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laim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8" w:lineRule="auto"/>
        <w:rPr>
          <w:sz w:val="20"/>
          <w:szCs w:val="20"/>
          <w:color w:val="auto"/>
        </w:rPr>
      </w:pPr>
      <w:r>
        <w:rPr>
          <w:rFonts w:ascii="Times New Roman" w:cs="Times New Roman" w:eastAsia="Times New Roman" w:hAnsi="Times New Roman"/>
          <w:sz w:val="17"/>
          <w:szCs w:val="17"/>
          <w:color w:val="auto"/>
        </w:rPr>
        <w:t>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w:t>
      </w:r>
    </w:p>
    <w:p>
      <w:pPr>
        <w:jc w:val="both"/>
        <w:ind w:firstLine="5"/>
        <w:spacing w:after="0" w:line="259" w:lineRule="auto"/>
        <w:tabs>
          <w:tab w:leader="none" w:pos="303"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7.11.</w:t>
      </w:r>
      <w:r>
        <w:rPr>
          <w:sz w:val="20"/>
          <w:szCs w:val="20"/>
          <w:color w:val="auto"/>
        </w:rPr>
        <w:tab/>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riorities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The Trustee will pay or deliver in the following order any money or other property that it collects pursuant to this </w:t>
      </w:r>
      <w:r>
        <w:rPr>
          <w:rFonts w:ascii="Times New Roman" w:cs="Times New Roman" w:eastAsia="Times New Roman" w:hAnsi="Times New Roman"/>
          <w:sz w:val="17"/>
          <w:szCs w:val="17"/>
          <w:b w:val="1"/>
          <w:bCs w:val="1"/>
          <w:color w:val="auto"/>
        </w:rPr>
        <w:t>Article 7</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40" w:firstLine="62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First: </w:t>
      </w:r>
      <w:r>
        <w:rPr>
          <w:rFonts w:ascii="Times New Roman" w:cs="Times New Roman" w:eastAsia="Times New Roman" w:hAnsi="Times New Roman"/>
          <w:sz w:val="17"/>
          <w:szCs w:val="17"/>
          <w:color w:val="auto"/>
        </w:rPr>
        <w:t>to the Trustee and the Collateral Agent and their agents and attorneys for amounts due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 including payment of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fees, compensation, expenses and liabilities incurred, and all advances made, by the Trustee and Collateral Agent (in each of their capacities under this Indenture, including as Note Agent) and the costs and expenses of collection;</w:t>
      </w:r>
    </w:p>
    <w:p>
      <w:pPr>
        <w:spacing w:after="0" w:line="160" w:lineRule="exact"/>
        <w:rPr>
          <w:sz w:val="20"/>
          <w:szCs w:val="20"/>
          <w:color w:val="auto"/>
        </w:rPr>
      </w:pPr>
    </w:p>
    <w:p>
      <w:pPr>
        <w:jc w:val="both"/>
        <w:ind w:left="640" w:firstLine="62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Second: </w:t>
      </w:r>
      <w:r>
        <w:rPr>
          <w:rFonts w:ascii="Times New Roman" w:cs="Times New Roman" w:eastAsia="Times New Roman" w:hAnsi="Times New Roman"/>
          <w:sz w:val="17"/>
          <w:szCs w:val="17"/>
          <w:color w:val="auto"/>
        </w:rPr>
        <w:t>to Holders for unpaid amounts or other property due on the Notes, including the principal of, or the Fundamental Change Repurchase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for, or any interest on, or any Conversion Consideration due upon conversion of, the Notes, ratably, and without preference or priority of any kind, according to such amounts or other property due and payable on all of the Notes; and</w:t>
      </w:r>
    </w:p>
    <w:p>
      <w:pPr>
        <w:spacing w:after="0" w:line="160"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i w:val="1"/>
          <w:iCs w:val="1"/>
          <w:color w:val="auto"/>
        </w:rPr>
        <w:t>Third:</w:t>
      </w:r>
      <w:r>
        <w:rPr>
          <w:sz w:val="20"/>
          <w:szCs w:val="20"/>
          <w:color w:val="auto"/>
        </w:rPr>
        <w:tab/>
      </w:r>
      <w:r>
        <w:rPr>
          <w:rFonts w:ascii="Times New Roman" w:cs="Times New Roman" w:eastAsia="Times New Roman" w:hAnsi="Times New Roman"/>
          <w:sz w:val="17"/>
          <w:szCs w:val="17"/>
          <w:color w:val="auto"/>
        </w:rPr>
        <w:t>to the Company or such other Person as a court of competent jurisdiction directs.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3" w:name="page124"/>
    <w:bookmarkEnd w:id="123"/>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 xml:space="preserve">The Trustee may fix a record date and payment date for any payment or delivery to the Holders pursuant to this </w:t>
      </w:r>
      <w:r>
        <w:rPr>
          <w:rFonts w:ascii="Times New Roman" w:cs="Times New Roman" w:eastAsia="Times New Roman" w:hAnsi="Times New Roman"/>
          <w:sz w:val="17"/>
          <w:szCs w:val="17"/>
          <w:b w:val="1"/>
          <w:bCs w:val="1"/>
          <w:color w:val="auto"/>
        </w:rPr>
        <w:t>Section 7.11</w:t>
      </w:r>
      <w:r>
        <w:rPr>
          <w:rFonts w:ascii="Times New Roman" w:cs="Times New Roman" w:eastAsia="Times New Roman" w:hAnsi="Times New Roman"/>
          <w:sz w:val="17"/>
          <w:szCs w:val="17"/>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6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7.12.</w:t>
      </w:r>
      <w:r>
        <w:rPr>
          <w:sz w:val="20"/>
          <w:szCs w:val="20"/>
          <w:color w:val="auto"/>
        </w:rPr>
        <w:tab/>
      </w:r>
      <w:r>
        <w:rPr>
          <w:rFonts w:ascii="Times New Roman" w:cs="Times New Roman" w:eastAsia="Times New Roman" w:hAnsi="Times New Roman"/>
          <w:sz w:val="17"/>
          <w:szCs w:val="17"/>
          <w:b w:val="1"/>
          <w:bCs w:val="1"/>
          <w:color w:val="auto"/>
        </w:rPr>
        <w:t>U</w:t>
      </w:r>
      <w:r>
        <w:rPr>
          <w:rFonts w:ascii="Times New Roman" w:cs="Times New Roman" w:eastAsia="Times New Roman" w:hAnsi="Times New Roman"/>
          <w:sz w:val="11"/>
          <w:szCs w:val="11"/>
          <w:b w:val="1"/>
          <w:bCs w:val="1"/>
          <w:color w:val="auto"/>
        </w:rPr>
        <w:t>ndertaking for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8" w:lineRule="auto"/>
        <w:rPr>
          <w:sz w:val="20"/>
          <w:szCs w:val="20"/>
          <w:color w:val="auto"/>
        </w:rPr>
      </w:pPr>
      <w:r>
        <w:rPr>
          <w:rFonts w:ascii="Times New Roman" w:cs="Times New Roman" w:eastAsia="Times New Roman" w:hAnsi="Times New Roman"/>
          <w:sz w:val="17"/>
          <w:szCs w:val="17"/>
          <w:color w:val="auto"/>
        </w:rPr>
        <w:t>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w:t>
      </w:r>
    </w:p>
    <w:p>
      <w:pPr>
        <w:jc w:val="both"/>
        <w:ind w:firstLine="5"/>
        <w:spacing w:after="0" w:line="265" w:lineRule="auto"/>
        <w:tabs>
          <w:tab w:leader="none" w:pos="289"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b w:val="1"/>
          <w:bCs w:val="1"/>
          <w:color w:val="auto"/>
        </w:rPr>
        <w:t>Section 7.12</w:t>
      </w:r>
      <w:r>
        <w:rPr>
          <w:rFonts w:ascii="Times New Roman" w:cs="Times New Roman" w:eastAsia="Times New Roman" w:hAnsi="Times New Roman"/>
          <w:sz w:val="17"/>
          <w:szCs w:val="17"/>
          <w:color w:val="auto"/>
        </w:rPr>
        <w:t xml:space="preserve"> does not apply to any suit by the Trustee, any suit by a Holder pursuant to </w:t>
      </w:r>
      <w:r>
        <w:rPr>
          <w:rFonts w:ascii="Times New Roman" w:cs="Times New Roman" w:eastAsia="Times New Roman" w:hAnsi="Times New Roman"/>
          <w:sz w:val="17"/>
          <w:szCs w:val="17"/>
          <w:b w:val="1"/>
          <w:bCs w:val="1"/>
          <w:color w:val="auto"/>
        </w:rPr>
        <w:t>Section 7.08</w:t>
      </w:r>
      <w:r>
        <w:rPr>
          <w:rFonts w:ascii="Times New Roman" w:cs="Times New Roman" w:eastAsia="Times New Roman" w:hAnsi="Times New Roman"/>
          <w:sz w:val="17"/>
          <w:szCs w:val="17"/>
          <w:color w:val="auto"/>
        </w:rPr>
        <w:t xml:space="preserve"> or any suit by one or more Holders of more than ten percent (10%) in aggregate principal amount of the Notes then outstanding.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2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AMENDMENTS, SUPPLEMENTS AND WAIVERS</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8.01.</w:t>
      </w:r>
      <w:r>
        <w:rPr>
          <w:sz w:val="20"/>
          <w:szCs w:val="20"/>
          <w:color w:val="auto"/>
        </w:rPr>
        <w:tab/>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ithout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onsent of</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77"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w:t>
      </w:r>
      <w:r>
        <w:rPr>
          <w:rFonts w:ascii="Times New Roman" w:cs="Times New Roman" w:eastAsia="Times New Roman" w:hAnsi="Times New Roman"/>
          <w:sz w:val="17"/>
          <w:szCs w:val="17"/>
          <w:b w:val="1"/>
          <w:bCs w:val="1"/>
          <w:color w:val="auto"/>
        </w:rPr>
        <w:t>Section 8.02</w:t>
      </w:r>
      <w:r>
        <w:rPr>
          <w:rFonts w:ascii="Times New Roman" w:cs="Times New Roman" w:eastAsia="Times New Roman" w:hAnsi="Times New Roman"/>
          <w:sz w:val="17"/>
          <w:szCs w:val="17"/>
          <w:color w:val="auto"/>
        </w:rPr>
        <w:t>, the Company, the Trustee and Collateral Agent, as applicable, may amend or supplement this Indenture, the Notes or any Collateral Document without the consent of any Holder (other than, in the case of clause (A) below, Deerfield Holders prior to the Disposition Date) to:</w:t>
      </w:r>
    </w:p>
    <w:p>
      <w:pPr>
        <w:spacing w:after="0" w:line="162" w:lineRule="exact"/>
        <w:rPr>
          <w:sz w:val="20"/>
          <w:szCs w:val="20"/>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 any ambiguity or correct any omission, defect or inconsistency in this Indenture, the Collateral Documents or the Notes;</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a Guarantor with respect to the Notes or to add additional assets as Collateral;</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to the Company’s covenants or Events of Default for the benefit of the Holders or surrender any right or power conferred on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20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 for the assumption of the Company’s obligations under this Indenture, the Collateral Documents and the Notes pursuant to, and in compliance with, </w:t>
      </w:r>
      <w:r>
        <w:rPr>
          <w:rFonts w:ascii="Times New Roman" w:cs="Times New Roman" w:eastAsia="Times New Roman" w:hAnsi="Times New Roman"/>
          <w:sz w:val="17"/>
          <w:szCs w:val="17"/>
          <w:b w:val="1"/>
          <w:bCs w:val="1"/>
          <w:color w:val="auto"/>
        </w:rPr>
        <w:t>Article 6</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supplemental indentures pursuant to, and in accordance with, </w:t>
      </w: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 xml:space="preserve"> in connection with a Common Stock Change Event;</w:t>
      </w:r>
    </w:p>
    <w:p>
      <w:pPr>
        <w:spacing w:after="0" w:line="22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or provide for the acceptance of the appointment, under this Indenture, of a successor Trustee or successor Collateral Agent;</w:t>
      </w:r>
    </w:p>
    <w:p>
      <w:pPr>
        <w:spacing w:after="0" w:line="221"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 for or confirm the issuance of Additional Notes pursuant to </w:t>
      </w:r>
      <w:r>
        <w:rPr>
          <w:rFonts w:ascii="Times New Roman" w:cs="Times New Roman" w:eastAsia="Times New Roman" w:hAnsi="Times New Roman"/>
          <w:sz w:val="17"/>
          <w:szCs w:val="17"/>
          <w:b w:val="1"/>
          <w:bCs w:val="1"/>
          <w:color w:val="auto"/>
        </w:rPr>
        <w:t>Section 2.03(B)</w:t>
      </w:r>
      <w:r>
        <w:rPr>
          <w:rFonts w:ascii="Times New Roman" w:cs="Times New Roman" w:eastAsia="Times New Roman" w:hAnsi="Times New Roman"/>
          <w:sz w:val="17"/>
          <w:szCs w:val="17"/>
          <w:color w:val="auto"/>
        </w:rPr>
        <w:t xml:space="preserve"> to the extent such issuance is permitted by </w:t>
      </w:r>
      <w:r>
        <w:rPr>
          <w:rFonts w:ascii="Times New Roman" w:cs="Times New Roman" w:eastAsia="Times New Roman" w:hAnsi="Times New Roman"/>
          <w:sz w:val="17"/>
          <w:szCs w:val="17"/>
          <w:b w:val="1"/>
          <w:bCs w:val="1"/>
          <w:color w:val="auto"/>
        </w:rPr>
        <w:t>Section</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3.08(R)</w:t>
      </w:r>
      <w:r>
        <w:rPr>
          <w:rFonts w:ascii="Times New Roman" w:cs="Times New Roman" w:eastAsia="Times New Roman" w:hAnsi="Times New Roman"/>
          <w:sz w:val="17"/>
          <w:szCs w:val="17"/>
          <w:color w:val="auto"/>
        </w:rPr>
        <w:t>; or</w:t>
      </w:r>
    </w:p>
    <w:p>
      <w:pPr>
        <w:spacing w:after="0" w:line="20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any requirement of the SEC in connection with any qualification of this Indenture or any supplemental indenture under the Trust Indenture Act, as then in effect.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4" w:name="page125"/>
    <w:bookmarkEnd w:id="124"/>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8.02.</w:t>
      </w:r>
      <w:r>
        <w:rPr>
          <w:sz w:val="20"/>
          <w:szCs w:val="20"/>
          <w:color w:val="auto"/>
        </w:rPr>
        <w:tab/>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ith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onsent of</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33"/>
        <w:spacing w:after="0" w:line="270" w:lineRule="auto"/>
        <w:tabs>
          <w:tab w:leader="none" w:pos="123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Sections 8.01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7.05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7.08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immediately following sentence, the Company, the Trustee and the Collateral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Agent, as applicable, may, with the consent of Required Holders, amend or supplement this Indenture or the Notes or waive compliance with any provision of this Indenture, the Notes or any Collateral Document. Notwithstanding anything to the contrary in the foregoing sentence, but subject to </w:t>
      </w:r>
      <w:r>
        <w:rPr>
          <w:rFonts w:ascii="Times New Roman" w:cs="Times New Roman" w:eastAsia="Times New Roman" w:hAnsi="Times New Roman"/>
          <w:sz w:val="17"/>
          <w:szCs w:val="17"/>
          <w:b w:val="1"/>
          <w:bCs w:val="1"/>
          <w:color w:val="auto"/>
        </w:rPr>
        <w:t>Section 8.01</w:t>
      </w:r>
      <w:r>
        <w:rPr>
          <w:rFonts w:ascii="Times New Roman" w:cs="Times New Roman" w:eastAsia="Times New Roman" w:hAnsi="Times New Roman"/>
          <w:sz w:val="17"/>
          <w:szCs w:val="17"/>
          <w:color w:val="auto"/>
        </w:rPr>
        <w:t>, without the consent of each affected Holder, no amendment or supplement to this Indenture or the Notes, or waiver of any provision of this Indenture or the Notes, may:</w:t>
      </w:r>
    </w:p>
    <w:p>
      <w:pPr>
        <w:spacing w:after="0" w:line="169"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or change the stated maturity, of any Note;</w:t>
      </w:r>
    </w:p>
    <w:p>
      <w:pPr>
        <w:spacing w:after="0" w:line="223"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Redemption Price or Fundamental Change Repurchase Price for any Note or change the times at which, or the circumstances under which, the Notes may or will be redeemed or repurchased by the Company;</w:t>
      </w:r>
    </w:p>
    <w:p>
      <w:pPr>
        <w:spacing w:after="0" w:line="145"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or extend the time for the payment, of interest on any Note;</w:t>
      </w:r>
    </w:p>
    <w:p>
      <w:pPr>
        <w:spacing w:after="0" w:line="221"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explicitly set forth in </w:t>
      </w:r>
      <w:r>
        <w:rPr>
          <w:rFonts w:ascii="Times New Roman" w:cs="Times New Roman" w:eastAsia="Times New Roman" w:hAnsi="Times New Roman"/>
          <w:sz w:val="17"/>
          <w:szCs w:val="17"/>
          <w:b w:val="1"/>
          <w:bCs w:val="1"/>
          <w:color w:val="auto"/>
        </w:rPr>
        <w:t>Section 5.05</w:t>
      </w:r>
      <w:r>
        <w:rPr>
          <w:rFonts w:ascii="Times New Roman" w:cs="Times New Roman" w:eastAsia="Times New Roman" w:hAnsi="Times New Roman"/>
          <w:sz w:val="17"/>
          <w:szCs w:val="17"/>
          <w:color w:val="auto"/>
        </w:rPr>
        <w:t>, reduce the Conversion Rate;</w:t>
      </w:r>
    </w:p>
    <w:p>
      <w:pPr>
        <w:spacing w:after="0" w:line="223"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impair the rights of any Holder set forth in </w:t>
      </w:r>
      <w:r>
        <w:rPr>
          <w:rFonts w:ascii="Times New Roman" w:cs="Times New Roman" w:eastAsia="Times New Roman" w:hAnsi="Times New Roman"/>
          <w:sz w:val="17"/>
          <w:szCs w:val="17"/>
          <w:b w:val="1"/>
          <w:bCs w:val="1"/>
          <w:color w:val="auto"/>
        </w:rPr>
        <w:t>Section 7.08</w:t>
      </w:r>
      <w:r>
        <w:rPr>
          <w:rFonts w:ascii="Times New Roman" w:cs="Times New Roman" w:eastAsia="Times New Roman" w:hAnsi="Times New Roman"/>
          <w:sz w:val="17"/>
          <w:szCs w:val="17"/>
          <w:color w:val="auto"/>
        </w:rPr>
        <w:t xml:space="preserve"> (as such section is in effect on the Issue Date);</w:t>
      </w:r>
    </w:p>
    <w:p>
      <w:pPr>
        <w:spacing w:after="0" w:line="225"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ranking of the Notes;</w:t>
      </w:r>
    </w:p>
    <w:p>
      <w:pPr>
        <w:spacing w:after="0" w:line="223"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Note payable in money, or at a place of payment, other than that stated in this Indenture or the Note;</w:t>
      </w:r>
    </w:p>
    <w:p>
      <w:pPr>
        <w:spacing w:after="0" w:line="223"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amount of Notes whose Holders must consent to any amendment, supplement, waiver or other modification;</w:t>
      </w:r>
    </w:p>
    <w:p>
      <w:pPr>
        <w:spacing w:after="0" w:line="223"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direct or indirect change to any amendment, supplement, waiver or modification provision of this Indenture, the Collateral Documents or the Notes that requires the consent of each affected Holder;</w:t>
      </w:r>
    </w:p>
    <w:p>
      <w:pPr>
        <w:spacing w:after="0" w:line="145"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all or substantially all of the Collateral or release all or substantially all of the Guarantees, in each case, except as provided in Section 13.02(A)(i)(4) of this Indenture;</w:t>
      </w:r>
    </w:p>
    <w:p>
      <w:pPr>
        <w:spacing w:after="0" w:line="145" w:lineRule="exact"/>
        <w:rPr>
          <w:rFonts w:ascii="Times New Roman" w:cs="Times New Roman" w:eastAsia="Times New Roman" w:hAnsi="Times New Roman"/>
          <w:sz w:val="17"/>
          <w:szCs w:val="17"/>
          <w:color w:val="auto"/>
        </w:rPr>
      </w:pPr>
    </w:p>
    <w:p>
      <w:pPr>
        <w:jc w:val="both"/>
        <w:ind w:left="620" w:firstLine="621"/>
        <w:spacing w:after="0" w:line="276" w:lineRule="auto"/>
        <w:tabs>
          <w:tab w:leader="none" w:pos="1876"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or have the effect of permitting the concept of “unrestricted subsidiaries” (which shall, for the avoidance of doubt, include any subsidiaries that are exempt from covenants or representations and warranties in the Note Documents, whether or not labelled as “unrestricted subsidiaries”);</w:t>
      </w:r>
    </w:p>
    <w:p>
      <w:pPr>
        <w:spacing w:after="0" w:line="162"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modify the definitions of “Material Asset” or “Material Intellectual Property” or Section 3.20;</w:t>
      </w:r>
    </w:p>
    <w:p>
      <w:pPr>
        <w:spacing w:after="0" w:line="221"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 or modify the definition of “Liability Management Transaction” or </w:t>
      </w:r>
      <w:r>
        <w:rPr>
          <w:rFonts w:ascii="Times New Roman" w:cs="Times New Roman" w:eastAsia="Times New Roman" w:hAnsi="Times New Roman"/>
          <w:sz w:val="17"/>
          <w:szCs w:val="17"/>
          <w:b w:val="1"/>
          <w:bCs w:val="1"/>
          <w:color w:val="auto"/>
        </w:rPr>
        <w:t>Section 3.24</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 or modify </w:t>
      </w:r>
      <w:r>
        <w:rPr>
          <w:rFonts w:ascii="Times New Roman" w:cs="Times New Roman" w:eastAsia="Times New Roman" w:hAnsi="Times New Roman"/>
          <w:sz w:val="17"/>
          <w:szCs w:val="17"/>
          <w:b w:val="1"/>
          <w:bCs w:val="1"/>
          <w:color w:val="auto"/>
        </w:rPr>
        <w:t>Section 11.06(D)</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or modification that would authorize the incurrence of additional Indebtedness (including Additional Notes) that would be issued under this Indenture in contemplation of or for the purpose of influencing any voting threshold;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25" w:name="page126"/>
    <w:bookmarkEnd w:id="125"/>
    <w:p>
      <w:pPr>
        <w:jc w:val="both"/>
        <w:ind w:left="640" w:firstLine="621"/>
        <w:spacing w:after="0" w:line="261" w:lineRule="auto"/>
        <w:tabs>
          <w:tab w:leader="none" w:pos="1896"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subordinate, or have the direct or indirect effect of subordinating the Obligations hereunder to any other Indebtedness or (y) subordinate, or have the direct or indirect effect of subordinating the Liens on all or substantially all of the Collateral to the Liens securing any other Indebtedness; provided that the foregoing clauses (x) and (y) shall not apply (1) to the extent expressly permitted pursuant to the Note Documents as in effect on the Issue Date and (2) to any “debtor-in-possession” financing or similar financing; provided that the contemplated “debtor-in-possession” financing or similar financing (x) may not include a “roll-up” or refinancing, in whole or in part, of any Notes unless each Holder holding at least 15% of the outstanding principal amount of the Notes then outstanding on the date such determination is made by the Company has been given an opportunity to participate in such “roll-up” or refinancing on the same economic terms (other than bona fide backstop fees (which may be in the form of original issue discount)) and on a pro rata basis (which pro rata basis shall be determined as a percentage of all Notes) for a period of at least five (5) Business Days from the date of written notice in accordance with Section 12.01.</w:t>
      </w:r>
    </w:p>
    <w:p>
      <w:pPr>
        <w:spacing w:after="0" w:line="180" w:lineRule="exact"/>
        <w:rPr>
          <w:sz w:val="20"/>
          <w:szCs w:val="20"/>
          <w:color w:val="auto"/>
        </w:rPr>
      </w:pPr>
    </w:p>
    <w:p>
      <w:pPr>
        <w:ind w:firstLine="628"/>
        <w:spacing w:after="0" w:line="296" w:lineRule="auto"/>
        <w:rPr>
          <w:sz w:val="20"/>
          <w:szCs w:val="20"/>
          <w:color w:val="auto"/>
        </w:rPr>
      </w:pPr>
      <w:r>
        <w:rPr>
          <w:rFonts w:ascii="Times New Roman" w:cs="Times New Roman" w:eastAsia="Times New Roman" w:hAnsi="Times New Roman"/>
          <w:sz w:val="17"/>
          <w:szCs w:val="17"/>
          <w:color w:val="auto"/>
        </w:rPr>
        <w:t>Without the consent of the holders of at least 66.67% in an aggregate principal amount of the Notes then outstanding, no amendment or supplement to this Indenture or the Notes, or waiver of any provision of this Indenture or the Notes, may:</w:t>
      </w:r>
    </w:p>
    <w:p>
      <w:pPr>
        <w:spacing w:after="0" w:line="146" w:lineRule="exact"/>
        <w:rPr>
          <w:sz w:val="20"/>
          <w:szCs w:val="20"/>
          <w:color w:val="auto"/>
        </w:rPr>
      </w:pPr>
    </w:p>
    <w:p>
      <w:pPr>
        <w:jc w:val="both"/>
        <w:ind w:left="640" w:firstLine="621"/>
        <w:spacing w:after="0" w:line="264" w:lineRule="auto"/>
        <w:tabs>
          <w:tab w:leader="none" w:pos="1896"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otherwise modify any Note Document if the amendment or modification would, or have the effect of, permitting additional Investments to be made to a Subsidiary which is not a Note Party, additional assets to be disposed or otherwise transferred to a Subsidiary which is not a Note Party or additional Indebtedness to be incurred by a Subsidiary which is not a Note Party, in each case, in excess of $40,000,000 of such amounts permitted under the Note Documents on the Issue Date; provided that, to the extent that any such amendment, modification or waiver is made in connection with a Liability Management Transaction, such amendment, modification or waiver shall require the written consent of each affected Holder; and</w:t>
      </w:r>
    </w:p>
    <w:p>
      <w:pPr>
        <w:spacing w:after="0" w:line="175" w:lineRule="exact"/>
        <w:rPr>
          <w:rFonts w:ascii="Times New Roman" w:cs="Times New Roman" w:eastAsia="Times New Roman" w:hAnsi="Times New Roman"/>
          <w:sz w:val="17"/>
          <w:szCs w:val="17"/>
          <w:color w:val="auto"/>
        </w:rPr>
      </w:pPr>
    </w:p>
    <w:p>
      <w:pPr>
        <w:jc w:val="both"/>
        <w:ind w:left="640" w:firstLine="621"/>
        <w:spacing w:after="0" w:line="264" w:lineRule="auto"/>
        <w:tabs>
          <w:tab w:leader="none" w:pos="1896"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permit any waiver, amendment or modification, to permit the incurrence of (i) Additional Notes and (ii) any Indebtedness that is secured by the Collateral on a pari passu basis with the Notes, in each case, except pursuant to (x) </w:t>
      </w:r>
      <w:r>
        <w:rPr>
          <w:rFonts w:ascii="Times New Roman" w:cs="Times New Roman" w:eastAsia="Times New Roman" w:hAnsi="Times New Roman"/>
          <w:sz w:val="17"/>
          <w:szCs w:val="17"/>
          <w:b w:val="1"/>
          <w:bCs w:val="1"/>
          <w:color w:val="auto"/>
        </w:rPr>
        <w:t>Section 3.08(S)</w:t>
      </w:r>
      <w:r>
        <w:rPr>
          <w:rFonts w:ascii="Times New Roman" w:cs="Times New Roman" w:eastAsia="Times New Roman" w:hAnsi="Times New Roman"/>
          <w:sz w:val="17"/>
          <w:szCs w:val="17"/>
          <w:color w:val="auto"/>
        </w:rPr>
        <w:t xml:space="preserve"> of the Indenture as in effect on the Issue Date, (y) a transaction in which participation in such Indebtedness is offered, on the same economic terms (other than bona fide backstop fees (which may be in the form of original issue discount)) offered to all other providers (or their Affiliates) of such Indebtedness, to the holders of the Notes on a pro rata basis (determined based on the aggregate outstanding principal amount of Notes and the aggregate outstanding principal amount of any other Indebtedness (or commitments in respect thereof) that requires an offer to be made in connection therewith) or (z) a transaction permitted pursuant to Section 8.02(A)(xvi).</w:t>
      </w:r>
    </w:p>
    <w:p>
      <w:pPr>
        <w:spacing w:after="0" w:line="382"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For the avoidance of doubt, pursuant to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b w:val="1"/>
          <w:bCs w:val="1"/>
          <w:color w:val="auto"/>
        </w:rPr>
        <w:t>Section 8.02(A)</w:t>
      </w:r>
      <w:r>
        <w:rPr>
          <w:rFonts w:ascii="Times New Roman" w:cs="Times New Roman" w:eastAsia="Times New Roman" w:hAnsi="Times New Roman"/>
          <w:sz w:val="17"/>
          <w:szCs w:val="17"/>
          <w:color w:val="auto"/>
        </w:rPr>
        <w:t>, no amendment or supplement to this Indenture, the Collateral Documents or the Notes, or waiver of any provision of this Indenture, the Collateral Documents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167" w:lineRule="exact"/>
        <w:rPr>
          <w:sz w:val="20"/>
          <w:szCs w:val="20"/>
          <w:color w:val="auto"/>
        </w:rPr>
      </w:pPr>
    </w:p>
    <w:p>
      <w:pPr>
        <w:jc w:val="both"/>
        <w:ind w:firstLine="633"/>
        <w:spacing w:after="0" w:line="260" w:lineRule="auto"/>
        <w:tabs>
          <w:tab w:leader="none" w:pos="125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Required Holder Determination</w:t>
      </w:r>
      <w:r>
        <w:rPr>
          <w:rFonts w:ascii="Times New Roman" w:cs="Times New Roman" w:eastAsia="Times New Roman" w:hAnsi="Times New Roman"/>
          <w:sz w:val="17"/>
          <w:szCs w:val="17"/>
          <w:color w:val="auto"/>
        </w:rPr>
        <w:t>. Notwithstanding anything to the contrary herein, it is agreed and understood by the parties hereto, and by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Holders of the Notes, that (i) any determination or direction required to be made by Required Holders in this Indenture or any other Note Document, (ii) any matter under the Note Documents with respect to an extension of time (other than with respect to a Default or Event of Default), (iii) any document required to be in form and/or substance satisfactory to the Trustee and/or Collateral Agent (at the direction of the Required Holders)) and (iv) any amendment to or waiver of </w:t>
      </w:r>
      <w:r>
        <w:rPr>
          <w:rFonts w:ascii="Times New Roman" w:cs="Times New Roman" w:eastAsia="Times New Roman" w:hAnsi="Times New Roman"/>
          <w:sz w:val="17"/>
          <w:szCs w:val="17"/>
          <w:b w:val="1"/>
          <w:bCs w:val="1"/>
          <w:color w:val="auto"/>
        </w:rPr>
        <w:t>Sections 3.08</w:t>
      </w:r>
      <w:r>
        <w:rPr>
          <w:rFonts w:ascii="Times New Roman" w:cs="Times New Roman" w:eastAsia="Times New Roman" w:hAnsi="Times New Roman"/>
          <w:sz w:val="17"/>
          <w:szCs w:val="17"/>
          <w:color w:val="auto"/>
        </w:rPr>
        <w:t xml:space="preserve"> (other than with respect to any amendment or waiver that would permit the incurrence of (x) Additional Notes, (y) additional Indebtedness that is permitted to be secured on a pari passu basis to the Notes or (z) additional Indebtedness that is permitted to be incurred by a Subsidiary that is not a Note Party), </w:t>
      </w:r>
      <w:r>
        <w:rPr>
          <w:rFonts w:ascii="Times New Roman" w:cs="Times New Roman" w:eastAsia="Times New Roman" w:hAnsi="Times New Roman"/>
          <w:sz w:val="17"/>
          <w:szCs w:val="17"/>
          <w:b w:val="1"/>
          <w:bCs w:val="1"/>
          <w:color w:val="auto"/>
        </w:rPr>
        <w:t>3.09</w:t>
      </w:r>
      <w:r>
        <w:rPr>
          <w:rFonts w:ascii="Times New Roman" w:cs="Times New Roman" w:eastAsia="Times New Roman" w:hAnsi="Times New Roman"/>
          <w:sz w:val="17"/>
          <w:szCs w:val="17"/>
          <w:color w:val="auto"/>
        </w:rPr>
        <w:t xml:space="preserve"> (other than with respect to any amendment or waiver that would permit the incurrence of Liens that secure Indebtedness on a pari passu basis to the Notes), </w:t>
      </w:r>
      <w:r>
        <w:rPr>
          <w:rFonts w:ascii="Times New Roman" w:cs="Times New Roman" w:eastAsia="Times New Roman" w:hAnsi="Times New Roman"/>
          <w:sz w:val="17"/>
          <w:szCs w:val="17"/>
          <w:b w:val="1"/>
          <w:bCs w:val="1"/>
          <w:color w:val="auto"/>
        </w:rPr>
        <w:t>3.11</w:t>
      </w:r>
      <w:r>
        <w:rPr>
          <w:rFonts w:ascii="Times New Roman" w:cs="Times New Roman" w:eastAsia="Times New Roman" w:hAnsi="Times New Roman"/>
          <w:sz w:val="17"/>
          <w:szCs w:val="17"/>
          <w:color w:val="auto"/>
        </w:rPr>
        <w:t xml:space="preserve"> (except as described in </w:t>
      </w:r>
      <w:r>
        <w:rPr>
          <w:rFonts w:ascii="Times New Roman" w:cs="Times New Roman" w:eastAsia="Times New Roman" w:hAnsi="Times New Roman"/>
          <w:sz w:val="17"/>
          <w:szCs w:val="17"/>
          <w:b w:val="1"/>
          <w:bCs w:val="1"/>
          <w:color w:val="auto"/>
        </w:rPr>
        <w:t>Section 8.02(A)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3.12</w:t>
      </w:r>
      <w:r>
        <w:rPr>
          <w:rFonts w:ascii="Times New Roman" w:cs="Times New Roman" w:eastAsia="Times New Roman" w:hAnsi="Times New Roman"/>
          <w:sz w:val="17"/>
          <w:szCs w:val="17"/>
          <w:color w:val="auto"/>
        </w:rPr>
        <w:t xml:space="preserve"> (except as described in </w:t>
      </w:r>
      <w:r>
        <w:rPr>
          <w:rFonts w:ascii="Times New Roman" w:cs="Times New Roman" w:eastAsia="Times New Roman" w:hAnsi="Times New Roman"/>
          <w:sz w:val="17"/>
          <w:szCs w:val="17"/>
          <w:b w:val="1"/>
          <w:bCs w:val="1"/>
          <w:color w:val="auto"/>
        </w:rPr>
        <w:t>Section 8.02(A)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3.15, 3.16, 3.17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3.33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3.34</w:t>
      </w:r>
      <w:r>
        <w:rPr>
          <w:rFonts w:ascii="Times New Roman" w:cs="Times New Roman" w:eastAsia="Times New Roman" w:hAnsi="Times New Roman"/>
          <w:sz w:val="17"/>
          <w:szCs w:val="17"/>
          <w:color w:val="auto"/>
        </w:rPr>
        <w:t xml:space="preserve"> can be made by the Administrative Determination Holder on behalf of the Required Holders, regardless of whether the Administrative Determination Holder constitutes the Required Holders at such time, and such determination or direction shall be binding on all of the Holders. The Trustee and the Collateral Agent may conclusively rely on any such determination or direction by the Administrative Determination Holders. By their acceptance of the Notes, each Holder of the Notes is deemed to agree that the Administrative Determination Holder is not an agent or fiduciary of any other Holder and may act solely in its own interest. The Administrative Determination Holder may make determinations or take actions that are disproportionately or solely to the benefit of the Administrative Determination Holder without any liability to any other Holder.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6" w:name="page127"/>
    <w:bookmarkEnd w:id="126"/>
    <w:p>
      <w:pPr>
        <w:ind w:firstLine="633"/>
        <w:spacing w:after="0" w:line="298" w:lineRule="auto"/>
        <w:tabs>
          <w:tab w:leader="none" w:pos="1256"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Holders Need Not Approve the Particular Form of any Amendment</w:t>
      </w:r>
      <w:r>
        <w:rPr>
          <w:rFonts w:ascii="Times New Roman" w:cs="Times New Roman" w:eastAsia="Times New Roman" w:hAnsi="Times New Roman"/>
          <w:sz w:val="17"/>
          <w:szCs w:val="17"/>
          <w:color w:val="auto"/>
        </w:rPr>
        <w:t>. A consent of any Holder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8.02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need approve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substance, and not necessarily the particular form, of the proposed amendment, supplement or waiver.</w:t>
      </w:r>
    </w:p>
    <w:p>
      <w:pPr>
        <w:spacing w:after="0" w:line="14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8.03.</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otice of</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mendments</w:t>
      </w:r>
      <w:r>
        <w:rPr>
          <w:rFonts w:ascii="Times New Roman" w:cs="Times New Roman" w:eastAsia="Times New Roman" w:hAnsi="Times New Roman"/>
          <w:sz w:val="17"/>
          <w:szCs w:val="17"/>
          <w:b w:val="1"/>
          <w:bCs w:val="1"/>
          <w:color w:val="auto"/>
        </w:rPr>
        <w:t>, S</w:t>
      </w:r>
      <w:r>
        <w:rPr>
          <w:rFonts w:ascii="Times New Roman" w:cs="Times New Roman" w:eastAsia="Times New Roman" w:hAnsi="Times New Roman"/>
          <w:sz w:val="11"/>
          <w:szCs w:val="11"/>
          <w:b w:val="1"/>
          <w:bCs w:val="1"/>
          <w:color w:val="auto"/>
        </w:rPr>
        <w:t>upplements and</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aivers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67" w:lineRule="auto"/>
        <w:rPr>
          <w:sz w:val="20"/>
          <w:szCs w:val="20"/>
          <w:color w:val="auto"/>
        </w:rPr>
      </w:pPr>
      <w:r>
        <w:rPr>
          <w:rFonts w:ascii="Times New Roman" w:cs="Times New Roman" w:eastAsia="Times New Roman" w:hAnsi="Times New Roman"/>
          <w:sz w:val="17"/>
          <w:szCs w:val="17"/>
          <w:color w:val="auto"/>
        </w:rPr>
        <w:t xml:space="preserve">As soon as reasonably practicable after any amendment, supplement or waiver pursuant to </w:t>
      </w:r>
      <w:r>
        <w:rPr>
          <w:rFonts w:ascii="Times New Roman" w:cs="Times New Roman" w:eastAsia="Times New Roman" w:hAnsi="Times New Roman"/>
          <w:sz w:val="17"/>
          <w:szCs w:val="17"/>
          <w:b w:val="1"/>
          <w:bCs w:val="1"/>
          <w:color w:val="auto"/>
        </w:rPr>
        <w:t>Section 8.01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8.02</w:t>
      </w:r>
      <w:r>
        <w:rPr>
          <w:rFonts w:ascii="Times New Roman" w:cs="Times New Roman" w:eastAsia="Times New Roman" w:hAnsi="Times New Roman"/>
          <w:sz w:val="17"/>
          <w:szCs w:val="17"/>
          <w:color w:val="auto"/>
        </w:rPr>
        <w:t xml:space="preserve"> becomes effective, the Company will send to the Holders, the Trustee and the Collateral Agent notice that (A) describes the substance of such amendment, supplement or waiver in reasonable detail and (B) states the effective date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6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8.04.</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evocation</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1"/>
          <w:szCs w:val="11"/>
          <w:b w:val="1"/>
          <w:bCs w:val="1"/>
          <w:color w:val="auto"/>
        </w:rPr>
        <w:t>ffect and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olicitation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onsents</w:t>
      </w:r>
      <w:r>
        <w:rPr>
          <w:rFonts w:ascii="Times New Roman" w:cs="Times New Roman" w:eastAsia="Times New Roman" w:hAnsi="Times New Roman"/>
          <w:sz w:val="17"/>
          <w:szCs w:val="17"/>
          <w:b w:val="1"/>
          <w:bCs w:val="1"/>
          <w:color w:val="auto"/>
        </w:rPr>
        <w:t>; S</w:t>
      </w:r>
      <w:r>
        <w:rPr>
          <w:rFonts w:ascii="Times New Roman" w:cs="Times New Roman" w:eastAsia="Times New Roman" w:hAnsi="Times New Roman"/>
          <w:sz w:val="11"/>
          <w:szCs w:val="11"/>
          <w:b w:val="1"/>
          <w:bCs w:val="1"/>
          <w:color w:val="auto"/>
        </w:rPr>
        <w:t>pecial</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ecord</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ates</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1"/>
          <w:szCs w:val="11"/>
          <w:b w:val="1"/>
          <w:bCs w:val="1"/>
          <w:color w:val="auto"/>
        </w:rPr>
        <w:t>tc</w:t>
      </w:r>
      <w:r>
        <w:rPr>
          <w:rFonts w:ascii="Times New Roman" w:cs="Times New Roman" w:eastAsia="Times New Roman" w:hAnsi="Times New Roman"/>
          <w:sz w:val="17"/>
          <w:szCs w:val="17"/>
          <w:b w:val="1"/>
          <w:bCs w:val="1"/>
          <w:color w:val="auto"/>
        </w:rPr>
        <w:t>.</w:t>
      </w:r>
    </w:p>
    <w:p>
      <w:pPr>
        <w:spacing w:after="0" w:line="223" w:lineRule="exact"/>
        <w:rPr>
          <w:sz w:val="20"/>
          <w:szCs w:val="20"/>
          <w:color w:val="auto"/>
        </w:rPr>
      </w:pPr>
    </w:p>
    <w:p>
      <w:pPr>
        <w:jc w:val="both"/>
        <w:ind w:firstLine="633"/>
        <w:spacing w:after="0" w:line="270" w:lineRule="auto"/>
        <w:tabs>
          <w:tab w:leader="none" w:pos="125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Revocation and Effect of Consents</w:t>
      </w:r>
      <w:r>
        <w:rPr>
          <w:rFonts w:ascii="Times New Roman" w:cs="Times New Roman" w:eastAsia="Times New Roman" w:hAnsi="Times New Roman"/>
          <w:sz w:val="17"/>
          <w:szCs w:val="17"/>
          <w:color w:val="auto"/>
        </w:rPr>
        <w:t>. The consent of a Holder of a Note to an amendment, supplement or waiver will bind (and constitute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7"/>
          <w:szCs w:val="17"/>
          <w:b w:val="1"/>
          <w:bCs w:val="1"/>
          <w:color w:val="auto"/>
        </w:rPr>
        <w:t>Section 8.04(B)</w:t>
      </w:r>
      <w:r>
        <w:rPr>
          <w:rFonts w:ascii="Times New Roman" w:cs="Times New Roman" w:eastAsia="Times New Roman" w:hAnsi="Times New Roman"/>
          <w:sz w:val="17"/>
          <w:szCs w:val="17"/>
          <w:color w:val="auto"/>
        </w:rPr>
        <w:t>) any such consent with respect to such Note by delivering notice of revocation to the Trustee before the time such amendment, supplement or waiver becomes effective.</w:t>
      </w:r>
    </w:p>
    <w:p>
      <w:pPr>
        <w:spacing w:after="0" w:line="167" w:lineRule="exact"/>
        <w:rPr>
          <w:rFonts w:ascii="Times New Roman" w:cs="Times New Roman" w:eastAsia="Times New Roman" w:hAnsi="Times New Roman"/>
          <w:sz w:val="17"/>
          <w:szCs w:val="17"/>
          <w:color w:val="auto"/>
        </w:rPr>
      </w:pPr>
    </w:p>
    <w:p>
      <w:pPr>
        <w:jc w:val="both"/>
        <w:ind w:firstLine="633"/>
        <w:spacing w:after="0" w:line="266" w:lineRule="auto"/>
        <w:tabs>
          <w:tab w:leader="none" w:pos="125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Special Record Dates</w:t>
      </w:r>
      <w:r>
        <w:rPr>
          <w:rFonts w:ascii="Times New Roman" w:cs="Times New Roman" w:eastAsia="Times New Roman" w:hAnsi="Times New Roman"/>
          <w:sz w:val="17"/>
          <w:szCs w:val="17"/>
          <w:color w:val="auto"/>
        </w:rPr>
        <w:t>. The Company may, but is not required to, fix a record date for the purpose of determining the Holders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consent or take any other action in connection with any amendment, supplement or waiver pursuant to this </w:t>
      </w:r>
      <w:r>
        <w:rPr>
          <w:rFonts w:ascii="Times New Roman" w:cs="Times New Roman" w:eastAsia="Times New Roman" w:hAnsi="Times New Roman"/>
          <w:sz w:val="17"/>
          <w:szCs w:val="17"/>
          <w:b w:val="1"/>
          <w:bCs w:val="1"/>
          <w:color w:val="auto"/>
        </w:rPr>
        <w:t>Article 8</w:t>
      </w:r>
      <w:r>
        <w:rPr>
          <w:rFonts w:ascii="Times New Roman" w:cs="Times New Roman" w:eastAsia="Times New Roman" w:hAnsi="Times New Roman"/>
          <w:sz w:val="17"/>
          <w:szCs w:val="17"/>
          <w:color w:val="auto"/>
        </w:rPr>
        <w:t xml:space="preserve">. If a record date is fixed, then, notwithstanding anything to the contrary in </w:t>
      </w:r>
      <w:r>
        <w:rPr>
          <w:rFonts w:ascii="Times New Roman" w:cs="Times New Roman" w:eastAsia="Times New Roman" w:hAnsi="Times New Roman"/>
          <w:sz w:val="17"/>
          <w:szCs w:val="17"/>
          <w:b w:val="1"/>
          <w:bCs w:val="1"/>
          <w:color w:val="auto"/>
        </w:rPr>
        <w:t>Section 8.04(A)</w:t>
      </w:r>
      <w:r>
        <w:rPr>
          <w:rFonts w:ascii="Times New Roman" w:cs="Times New Roman" w:eastAsia="Times New Roman" w:hAnsi="Times New Roman"/>
          <w:sz w:val="17"/>
          <w:szCs w:val="17"/>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consent will be valid or effective for more than one hundred and twenty (120) calendar days after such record date.</w:t>
      </w:r>
    </w:p>
    <w:p>
      <w:pPr>
        <w:spacing w:after="0" w:line="382"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Solicitation of Consents</w:t>
      </w:r>
      <w:r>
        <w:rPr>
          <w:rFonts w:ascii="Times New Roman" w:cs="Times New Roman" w:eastAsia="Times New Roman" w:hAnsi="Times New Roman"/>
          <w:sz w:val="17"/>
          <w:szCs w:val="17"/>
          <w:color w:val="auto"/>
        </w:rPr>
        <w:t>. For the avoidance of doubt, each reference in this Indenture or the Notes to the consent of a Holder will be deemed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any such consent obtained in connection with a repurchase of, or tender or exchange offer for, any Notes.</w:t>
      </w:r>
    </w:p>
    <w:p>
      <w:pPr>
        <w:spacing w:after="0" w:line="142"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Effectiveness and Binding Effect</w:t>
      </w:r>
      <w:r>
        <w:rPr>
          <w:rFonts w:ascii="Times New Roman" w:cs="Times New Roman" w:eastAsia="Times New Roman" w:hAnsi="Times New Roman"/>
          <w:sz w:val="17"/>
          <w:szCs w:val="17"/>
          <w:color w:val="auto"/>
        </w:rPr>
        <w:t>. Each amendment, supplement or waiver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become effective in accordance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terms and, when it becomes effective with respect to any Note (or any portion thereof), will thereafter bind every Holder of such Note (or such portion).</w:t>
      </w:r>
    </w:p>
    <w:p>
      <w:pPr>
        <w:spacing w:after="0" w:line="14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8.05.</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otations and</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xchanges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7"/>
          <w:szCs w:val="17"/>
          <w:b w:val="1"/>
          <w:bCs w:val="1"/>
          <w:color w:val="auto"/>
        </w:rPr>
        <w:t>Section 8.05</w:t>
      </w:r>
      <w:r>
        <w:rPr>
          <w:rFonts w:ascii="Times New Roman" w:cs="Times New Roman" w:eastAsia="Times New Roman" w:hAnsi="Times New Roman"/>
          <w:sz w:val="17"/>
          <w:szCs w:val="17"/>
          <w:color w:val="auto"/>
        </w:rPr>
        <w:t xml:space="preserve"> will not impair or affect the validity of such amendment, supplement or waiver.</w:t>
      </w:r>
    </w:p>
    <w:p>
      <w:pPr>
        <w:spacing w:after="0" w:line="17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8.06.</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 to</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xecute</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upplemental</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ndentures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 xml:space="preserve">The Trustee and Collateral Agent will execute and deliver any amendment or supplemental indenture authorized pursuant to this </w:t>
      </w:r>
      <w:r>
        <w:rPr>
          <w:rFonts w:ascii="Times New Roman" w:cs="Times New Roman" w:eastAsia="Times New Roman" w:hAnsi="Times New Roman"/>
          <w:sz w:val="17"/>
          <w:szCs w:val="17"/>
          <w:b w:val="1"/>
          <w:bCs w:val="1"/>
          <w:color w:val="auto"/>
        </w:rPr>
        <w:t>Article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Trustee and Collateral Agent need not (but may, in its sole and absolute discretion) execute or deliver any such amendment or supplemental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indenture that the Trustee and/or Collateral Agent concludes adversely affects the Trustee’s and/or the Collateral Agent’s rights, duties, liabilities or immunities. In executing any amendment or supplemental indenture, the Trustee and Collateral Agent will be entitled to receive, and (subject to </w:t>
      </w:r>
      <w:r>
        <w:rPr>
          <w:rFonts w:ascii="Times New Roman" w:cs="Times New Roman" w:eastAsia="Times New Roman" w:hAnsi="Times New Roman"/>
          <w:sz w:val="17"/>
          <w:szCs w:val="17"/>
          <w:b w:val="1"/>
          <w:bCs w:val="1"/>
          <w:color w:val="auto"/>
        </w:rPr>
        <w:t>Sections 10.01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10.02</w:t>
      </w:r>
      <w:r>
        <w:rPr>
          <w:rFonts w:ascii="Times New Roman" w:cs="Times New Roman" w:eastAsia="Times New Roman" w:hAnsi="Times New Roman"/>
          <w:sz w:val="17"/>
          <w:szCs w:val="17"/>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2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SATISFACTION AND DISCHARGE</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9.01.</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ermination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 xml:space="preserve">This Indenture (including, for the avoidance of doubt, the covenants contained in this Indenture), the Guarantees and the Collateral Documents will be discharged, and will cease to be of further effect as to all Notes issued under this Indenture and then (i) the liens on the Collateral will be automatically released with respect to the Notes and the Guarantees pursuant to </w:t>
      </w:r>
      <w:r>
        <w:rPr>
          <w:rFonts w:ascii="Times New Roman" w:cs="Times New Roman" w:eastAsia="Times New Roman" w:hAnsi="Times New Roman"/>
          <w:sz w:val="17"/>
          <w:szCs w:val="17"/>
          <w:b w:val="1"/>
          <w:bCs w:val="1"/>
          <w:color w:val="auto"/>
        </w:rPr>
        <w:t>Section 13.02</w:t>
      </w:r>
      <w:r>
        <w:rPr>
          <w:rFonts w:ascii="Times New Roman" w:cs="Times New Roman" w:eastAsia="Times New Roman" w:hAnsi="Times New Roman"/>
          <w:sz w:val="17"/>
          <w:szCs w:val="17"/>
          <w:color w:val="auto"/>
        </w:rPr>
        <w:t xml:space="preserve">, and (ii) the covenants contained in </w:t>
      </w:r>
      <w:r>
        <w:rPr>
          <w:rFonts w:ascii="Times New Roman" w:cs="Times New Roman" w:eastAsia="Times New Roman" w:hAnsi="Times New Roman"/>
          <w:sz w:val="17"/>
          <w:szCs w:val="17"/>
          <w:b w:val="1"/>
          <w:bCs w:val="1"/>
          <w:color w:val="auto"/>
        </w:rPr>
        <w:t>Section 3</w:t>
      </w:r>
      <w:r>
        <w:rPr>
          <w:rFonts w:ascii="Times New Roman" w:cs="Times New Roman" w:eastAsia="Times New Roman" w:hAnsi="Times New Roman"/>
          <w:sz w:val="17"/>
          <w:szCs w:val="17"/>
          <w:color w:val="auto"/>
        </w:rPr>
        <w:t xml:space="preserve"> shall cease to be of further effect, when:</w:t>
      </w:r>
    </w:p>
    <w:p>
      <w:pPr>
        <w:spacing w:after="0" w:line="161" w:lineRule="exact"/>
        <w:rPr>
          <w:sz w:val="20"/>
          <w:szCs w:val="20"/>
          <w:color w:val="auto"/>
        </w:rPr>
      </w:pPr>
    </w:p>
    <w:p>
      <w:pPr>
        <w:jc w:val="both"/>
        <w:ind w:firstLine="633"/>
        <w:spacing w:after="0" w:line="277" w:lineRule="auto"/>
        <w:tabs>
          <w:tab w:leader="none" w:pos="1256"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Notes then outstanding (other than Notes replaced pursuant to </w:t>
      </w:r>
      <w:r>
        <w:rPr>
          <w:rFonts w:ascii="Times New Roman" w:cs="Times New Roman" w:eastAsia="Times New Roman" w:hAnsi="Times New Roman"/>
          <w:sz w:val="17"/>
          <w:szCs w:val="17"/>
          <w:b w:val="1"/>
          <w:bCs w:val="1"/>
          <w:color w:val="auto"/>
        </w:rPr>
        <w:t>Section 2.12</w:t>
      </w:r>
      <w:r>
        <w:rPr>
          <w:rFonts w:ascii="Times New Roman" w:cs="Times New Roman" w:eastAsia="Times New Roman" w:hAnsi="Times New Roman"/>
          <w:sz w:val="17"/>
          <w:szCs w:val="17"/>
          <w:color w:val="auto"/>
        </w:rPr>
        <w:t>) have (i) been delivered to the Trustee for cancellation; or (ii) become due and payable (whether on a Redemption Date, a Fundamental Change Repurchase Date, the Maturity Date, upon conversion or otherwise, or otherwise will become due and payable within one year) for an amount of cash or Conversion Consideration, as applicable, that has been fixed;</w:t>
      </w:r>
    </w:p>
    <w:p>
      <w:pPr>
        <w:spacing w:after="0" w:line="162"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cs="Times New Roman" w:eastAsia="Times New Roman" w:hAnsi="Times New Roman"/>
          <w:sz w:val="17"/>
          <w:szCs w:val="17"/>
          <w:b w:val="1"/>
          <w:bCs w:val="1"/>
          <w:color w:val="auto"/>
        </w:rPr>
        <w:t>Section 2.12</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paid all other amounts payable by it under this Indenture; and</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delivered to the Trustee or Collateral Agent, as applicable an Officer’s Certificate and an Opinion of Counsel, each stating that the conditions precedent to the discharge of this Indenture have been satisfied;</w:t>
      </w:r>
    </w:p>
    <w:p>
      <w:pPr>
        <w:spacing w:after="0" w:line="14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2.10(E)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12.01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survive such discharge and, until no Notes remain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2.14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 of the Trustee, the Paying Agent and the Conversion Agent with respect to money or other property deposited with them will survive such discharge.</w:t>
      </w:r>
    </w:p>
    <w:p>
      <w:pPr>
        <w:spacing w:after="0" w:line="14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At the Company’s request, the Trustee and the Collateral Agent, as applicable, will acknowledge the satisfaction and discharge of this Indenture and, at the expense of the Company, shall execute instruments reasonably requested by the Company acknowledging satisfaction and discharge of this Indenture and the Notes and to evidence termination of the Liens on the Collateral.</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9.02.</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epayment to</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4" w:lineRule="auto"/>
        <w:rPr>
          <w:sz w:val="20"/>
          <w:szCs w:val="20"/>
          <w:color w:val="auto"/>
        </w:rPr>
      </w:pPr>
      <w:r>
        <w:rPr>
          <w:rFonts w:ascii="Times New Roman" w:cs="Times New Roman" w:eastAsia="Times New Roman" w:hAnsi="Times New Roman"/>
          <w:sz w:val="17"/>
          <w:szCs w:val="17"/>
          <w:color w:val="auto"/>
        </w:rPr>
        <w:t>Subject to applicable unclaimed property law, the Trustee, the Collateral Agent,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Collateral Agent,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8" w:name="page129"/>
    <w:bookmarkEnd w:id="128"/>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9.03.</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einstatement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5" w:lineRule="auto"/>
        <w:rPr>
          <w:sz w:val="20"/>
          <w:szCs w:val="20"/>
          <w:color w:val="auto"/>
        </w:rPr>
      </w:pPr>
      <w:r>
        <w:rPr>
          <w:rFonts w:ascii="Times New Roman" w:cs="Times New Roman" w:eastAsia="Times New Roman" w:hAnsi="Times New Roman"/>
          <w:sz w:val="17"/>
          <w:szCs w:val="17"/>
          <w:color w:val="auto"/>
        </w:rPr>
        <w:t xml:space="preserve">If the Trustee, the Collateral Agent, the Paying Agent or the Conversion Agent is unable to apply any cash or other property deposited with it pursuant to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will be rescinded;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Collateral Agent, the Paying Agent or the Conversion Agent, as applicable.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TRUSTEE AND COLLATERAL AGENT</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10.01.</w:t>
      </w:r>
      <w:r>
        <w:rPr>
          <w:sz w:val="20"/>
          <w:szCs w:val="20"/>
          <w:color w:val="auto"/>
        </w:rPr>
        <w:tab/>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uties of the</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33"/>
        <w:spacing w:after="0" w:line="263" w:lineRule="auto"/>
        <w:tabs>
          <w:tab w:leader="none" w:pos="1256"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and is continuing and a Responsible Officer of the Trustee has written notice or actual knowledge of the same, the Trustee will exercise such of the rights and powers vested in it by this Indenture solely at the discretion of the Administrative Determination Holder(s) (who shall be presumed to act for the Required Holders unless and until the Trustee receives written notice from the Required Holders that they object to an action proposed to be taken by the Administrative Determination Holder(s)) or the Required Holders;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spacing w:after="0" w:line="17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during the continuance of an Event of Default:</w:t>
      </w:r>
    </w:p>
    <w:p>
      <w:pPr>
        <w:spacing w:after="0" w:line="223"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62" w:lineRule="exact"/>
        <w:rPr>
          <w:rFonts w:ascii="Times New Roman" w:cs="Times New Roman" w:eastAsia="Times New Roman" w:hAnsi="Times New Roman"/>
          <w:sz w:val="17"/>
          <w:szCs w:val="17"/>
          <w:color w:val="auto"/>
        </w:rPr>
      </w:pPr>
    </w:p>
    <w:p>
      <w:pPr>
        <w:jc w:val="both"/>
        <w:ind w:left="640" w:firstLine="621"/>
        <w:spacing w:after="0" w:line="270" w:lineRule="auto"/>
        <w:tabs>
          <w:tab w:leader="none" w:pos="1896"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 examine the certificates and opinions to determine whether or not they conform to the requirements of this Indenture.</w:t>
      </w:r>
    </w:p>
    <w:p>
      <w:pPr>
        <w:spacing w:after="0" w:line="167"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not be relieved from liabilities for its negligence or willful misconduct, except that:</w:t>
      </w:r>
    </w:p>
    <w:p>
      <w:pPr>
        <w:spacing w:after="0" w:line="221"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paragraph will not limit the effect of </w:t>
      </w:r>
      <w:r>
        <w:rPr>
          <w:rFonts w:ascii="Times New Roman" w:cs="Times New Roman" w:eastAsia="Times New Roman" w:hAnsi="Times New Roman"/>
          <w:sz w:val="17"/>
          <w:szCs w:val="17"/>
          <w:b w:val="1"/>
          <w:bCs w:val="1"/>
          <w:color w:val="auto"/>
        </w:rPr>
        <w:t>Section 10.01(B)</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liable for any error of judgment made in good faith by a Responsible Officer, unless it is proved that the Trustee was negligent in ascertaining the pertinent facts; and</w:t>
      </w:r>
    </w:p>
    <w:p>
      <w:pPr>
        <w:spacing w:after="0" w:line="145"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17"/>
          <w:szCs w:val="17"/>
          <w:b w:val="1"/>
          <w:bCs w:val="1"/>
          <w:color w:val="auto"/>
        </w:rPr>
        <w:t>Section 7.06</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9" w:name="page130"/>
    <w:bookmarkEnd w:id="129"/>
    <w:p>
      <w:pPr>
        <w:ind w:firstLine="633"/>
        <w:spacing w:after="0" w:line="298" w:lineRule="auto"/>
        <w:tabs>
          <w:tab w:leader="none" w:pos="125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provision of this Indenture that in any way relates to the Trustee is subject to </w:t>
      </w:r>
      <w:r>
        <w:rPr>
          <w:rFonts w:ascii="Times New Roman" w:cs="Times New Roman" w:eastAsia="Times New Roman" w:hAnsi="Times New Roman"/>
          <w:sz w:val="17"/>
          <w:szCs w:val="17"/>
          <w:b w:val="1"/>
          <w:bCs w:val="1"/>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color w:val="auto"/>
        </w:rPr>
        <w:t>, regardless of whether such provision so expressly provides.</w:t>
      </w:r>
    </w:p>
    <w:p>
      <w:pPr>
        <w:spacing w:after="0" w:line="144"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Indenture will require the Trustee to expend or risk its own funds or incur any liability.</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Responsible Officer of the Trustee has received notice from the Company that Additional Interest is owing on the Notes, the Trustee may assume no Additional Interest is payable.</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privileges, protections, immunities and benefits given to the Trustee, including its right to be indemnified, are extended to, and will be enforceable by, the Trustee in each of its capacities under this Indenture, including as Collateral Agent or Note Agent.</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charged with knowledge of any document or agreement other than this Indenture and the Notes, including, without limitation, the Exchange Agreements.</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Every provision of this Indenture that in any way relates to the Trustee or the Collateral Agent (including any provision that affects the liability of, or affords protection to, the Trustee) is subject to this </w:t>
      </w: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color w:val="auto"/>
        </w:rPr>
        <w:t>, regardless of whether such provision so expressly provides.</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10.02.</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ights of the</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33"/>
        <w:spacing w:after="0" w:line="296" w:lineRule="auto"/>
        <w:tabs>
          <w:tab w:leader="none" w:pos="125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conclusively rely on any document that it believes to be genuine and signed or presented by the proper Person, and the Trustee need not investigate any fact or matter stated in such document.</w:t>
      </w:r>
    </w:p>
    <w:p>
      <w:pPr>
        <w:spacing w:after="0" w:line="145"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67"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its attorneys and agents and will not be responsible for the misconduct or negligence of any such agent appointed</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due care.</w:t>
      </w:r>
    </w:p>
    <w:p>
      <w:pPr>
        <w:spacing w:after="0" w:line="20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liable for any action it takes or omits to take in good faith and that it believes to be authorized or within the rights or powers vested in it by this Indenture.</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specifically provided in this Indenture, any demand, request, direction or notice from the Company will be sufficient if signed by an Officer of the Company.</w:t>
      </w:r>
    </w:p>
    <w:p>
      <w:pPr>
        <w:spacing w:after="0" w:line="145"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62"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0" w:name="page131"/>
    <w:bookmarkEnd w:id="130"/>
    <w:p>
      <w:pPr>
        <w:ind w:left="1260" w:hanging="627"/>
        <w:spacing w:after="0"/>
        <w:tabs>
          <w:tab w:leader="none" w:pos="126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permissive rights of the Trustee set forth in this Indenture will not be construed as duties imposed on the Trustee.</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required to give any bond or surety in respect of the execution or performance of this Indenture or otherwise.</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Responsible Officer of the Trustee has received notice from the Company that Additional Interest is owing or accruing, on the Notes, the Trustee may assume that no Additional Interest is payable or accruing.</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4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charged with knowledge of any document or agreement other than this Indenture and the Notes.</w:t>
      </w:r>
    </w:p>
    <w:p>
      <w:pPr>
        <w:spacing w:after="0" w:line="223"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10.03.</w:t>
      </w:r>
      <w:r>
        <w:rPr>
          <w:sz w:val="20"/>
          <w:szCs w:val="20"/>
          <w:color w:val="auto"/>
        </w:rPr>
        <w:tab/>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ndividual</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 of the</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7"/>
          <w:szCs w:val="17"/>
          <w:b w:val="1"/>
          <w:bCs w:val="1"/>
          <w:color w:val="auto"/>
        </w:rPr>
        <w:t>Section 10.03</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10.04.</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isclaimer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10.05.</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otice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efaults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 xml:space="preserve">If a Default or Event of Default occurs and is continuing and is actually known to a Responsible Officer of the Trustee, then the Trustee will send Holders a notice of such Default or Event of Default within ninety (90) days after it occurs or, if it is not known to the Trustee at such time, promptly (and in any event within ten (10) Business Days) after it becomes actually known to a Responsible Officer;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except in the case of a Default or Event of Default in the payment of the principal of, or interest on, any Note, the Trustee 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1" w:name="page132"/>
    <w:bookmarkEnd w:id="131"/>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10.06.</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ompensation and</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33"/>
        <w:spacing w:after="0" w:line="260" w:lineRule="auto"/>
        <w:tabs>
          <w:tab w:leader="none" w:pos="125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from time to time, pay the Trustee and Collateral Agent, as applicable, reasonable compensation for its acceptance of this Indenture, as separately agreed by the Company, the Trustee and the Collateral Agent and services under this Indenture and Collateral Documents. The Trustee’s and Collateral Agent’s compensation will not be limited by any law on compensation of a trustee or collateral agent of an express trust. In addition to the compensation for the Trustee’s or Collateral Agent’s services, the Company will reimburse the Trustee, the Collateral Agent and the Deerfield Holders, as applicable, promptly upon request for all reasonable and documented disbursements, advances and out-of-pocket expenses incurred or made by them under this Indenture or Note Documents (including, for the avoidance of doubt (i) all reasonable and documented expenses incurred in connection with the protection, sale or collection of, or other realization upon, any of the Collateral, including all reasonable and documented out of pocket expenses of taking, collecting, holding, sorting, handling, preparing for sale, selling, or the like, and other such expenses of sales and collections of Collateral, and (ii) all reasonable and documented out-of-pocket title, appraisal, survey, audit, environmental inspection, consulting, search, recording, filing and similar costs, fees and expenses incurred or sustained by the Collateral Agent or any of its Affiliates in connection with the Security Agreement or the Collateral), including the reasonable compensation, disbursements and expenses of their agents and counsel.</w:t>
      </w:r>
    </w:p>
    <w:p>
      <w:pPr>
        <w:spacing w:after="0" w:line="182" w:lineRule="exact"/>
        <w:rPr>
          <w:rFonts w:ascii="Times New Roman" w:cs="Times New Roman" w:eastAsia="Times New Roman" w:hAnsi="Times New Roman"/>
          <w:sz w:val="17"/>
          <w:szCs w:val="17"/>
          <w:color w:val="auto"/>
        </w:rPr>
      </w:pPr>
    </w:p>
    <w:p>
      <w:pPr>
        <w:jc w:val="both"/>
        <w:ind w:firstLine="633"/>
        <w:spacing w:after="0" w:line="260" w:lineRule="auto"/>
        <w:tabs>
          <w:tab w:leader="none" w:pos="125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will indemnify the Trustee and Collateral Agent (in each of its capacities)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to its negligence or willful misconduct, as determined by a final decision of a court of competent jurisdiction. The Trustee or Collateral Agent, as applicable, will promptly notify the Company of any claim for which it may seek indemnity, but the Trustee’s or Collateral Agent’s failure to so notify the Company will not relieve the Company of its obligations under this </w:t>
      </w:r>
      <w:r>
        <w:rPr>
          <w:rFonts w:ascii="Times New Roman" w:cs="Times New Roman" w:eastAsia="Times New Roman" w:hAnsi="Times New Roman"/>
          <w:sz w:val="17"/>
          <w:szCs w:val="17"/>
          <w:b w:val="1"/>
          <w:bCs w:val="1"/>
          <w:color w:val="auto"/>
        </w:rPr>
        <w:t>Section 10.06(B)</w:t>
      </w:r>
      <w:r>
        <w:rPr>
          <w:rFonts w:ascii="Times New Roman" w:cs="Times New Roman" w:eastAsia="Times New Roman" w:hAnsi="Times New Roman"/>
          <w:sz w:val="17"/>
          <w:szCs w:val="17"/>
          <w:color w:val="auto"/>
        </w:rPr>
        <w:t>, except to the extent the Company is materially prejudiced by such failure. The Company will defend such claim, and the Trustee and Collateral Agent will cooperate in such defense, as applicable. If the Trustee or Collateral Agent is advised by counsel that it may have defenses available to it that are in conflict with the defenses available to the Company, or that there is an actual or potential conflict of interest, then the Trustee and/or Collateral Agent may retain separate counsel, and the Company will pay the reasonable fees and expenses of such counsel (including the reasonable fees and expenses of counsel to the Trustee and/or Collateral Agent incurred in evaluating whether such a conflict exists). The Company need not pay for any settlement of any such claim made without its consent, which consent will not be unreasonably withheld.</w:t>
      </w:r>
    </w:p>
    <w:p>
      <w:pPr>
        <w:spacing w:after="0" w:line="17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obligations of the Company under this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 xml:space="preserve"> will survive the resignation or removal of the Trustee and the discharge of this</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Indenture.</w:t>
      </w:r>
    </w:p>
    <w:p>
      <w:pPr>
        <w:spacing w:after="0" w:line="203"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secure the Company’s payment obligations in this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 the Trustee and Collateral Agent will have a lien prior to the Notes on all money or property held or collected by the Trustee or Collateral Agent, as applicable, except that held in trust to pay principal of, or interest on, particular Notes, which lien will survive the discharge of this Indenture.</w:t>
      </w:r>
    </w:p>
    <w:p>
      <w:pPr>
        <w:spacing w:after="0" w:line="160"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Trustee or Collateral Agent incurs expenses or renders services after an Event of Default pursuant to </w:t>
      </w:r>
      <w:r>
        <w:rPr>
          <w:rFonts w:ascii="Times New Roman" w:cs="Times New Roman" w:eastAsia="Times New Roman" w:hAnsi="Times New Roman"/>
          <w:sz w:val="17"/>
          <w:szCs w:val="17"/>
          <w:b w:val="1"/>
          <w:bCs w:val="1"/>
          <w:color w:val="auto"/>
        </w:rPr>
        <w:t>clause (ix)</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 xml:space="preserve">Section 7.01(A) </w:t>
      </w:r>
      <w:r>
        <w:rPr>
          <w:rFonts w:ascii="Times New Roman" w:cs="Times New Roman" w:eastAsia="Times New Roman" w:hAnsi="Times New Roman"/>
          <w:sz w:val="17"/>
          <w:szCs w:val="17"/>
          <w:color w:val="auto"/>
        </w:rPr>
        <w:t>occurs, then such expenses and the compensation for such services (including the fees and expenses of its agents and counsel) are intended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expenses of administration under any Bankruptcy Law.</w:t>
      </w:r>
    </w:p>
    <w:p>
      <w:pPr>
        <w:spacing w:after="0" w:line="16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10.07.</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eplacement of the</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33"/>
        <w:spacing w:after="0" w:line="298" w:lineRule="auto"/>
        <w:tabs>
          <w:tab w:leader="none" w:pos="1256"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Section 10.07</w:t>
      </w:r>
      <w:r>
        <w:rPr>
          <w:rFonts w:ascii="Times New Roman" w:cs="Times New Roman" w:eastAsia="Times New Roman" w:hAnsi="Times New Roman"/>
          <w:sz w:val="17"/>
          <w:szCs w:val="17"/>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7"/>
          <w:szCs w:val="17"/>
          <w:b w:val="1"/>
          <w:bCs w:val="1"/>
          <w:color w:val="auto"/>
        </w:rPr>
        <w:t>Section 10.07</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2" w:name="page133"/>
    <w:bookmarkEnd w:id="132"/>
    <w:p>
      <w:pPr>
        <w:ind w:firstLine="633"/>
        <w:spacing w:after="0" w:line="296" w:lineRule="auto"/>
        <w:tabs>
          <w:tab w:leader="none" w:pos="125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resign at any time and be discharged from the trust created by this Indenture by so notifying the Company. Required Holders may remove the Trustee by so notifying the Trustee and the Company in writing. The Company may remove the Trustee if:</w:t>
      </w:r>
    </w:p>
    <w:p>
      <w:pPr>
        <w:spacing w:after="0" w:line="14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fails to comply with </w:t>
      </w:r>
      <w:r>
        <w:rPr>
          <w:rFonts w:ascii="Times New Roman" w:cs="Times New Roman" w:eastAsia="Times New Roman" w:hAnsi="Times New Roman"/>
          <w:sz w:val="17"/>
          <w:szCs w:val="17"/>
          <w:b w:val="1"/>
          <w:bCs w:val="1"/>
          <w:color w:val="auto"/>
        </w:rPr>
        <w:t>Section 10.09</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to be bankrupt or insolvent or an order for relief is entered with respect to the Trustee under any Bankruptcy</w:t>
      </w:r>
    </w:p>
    <w:p>
      <w:pPr>
        <w:spacing w:after="0" w:line="31"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w:t>
      </w:r>
    </w:p>
    <w:p>
      <w:pPr>
        <w:spacing w:after="0" w:line="20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custodian or public officer takes charge of the Trustee or its property; or</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becomes incapable of acting.</w:t>
      </w:r>
    </w:p>
    <w:p>
      <w:pPr>
        <w:spacing w:after="0" w:line="223"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Trustee resigns or is removed, or if a vacancy exists in the office of the Trustee for any reason, then (i) the Company will promptly appoint a successor Trustee; and (ii) at any time within one (1) year after the successor Trustee takes office, Required Holders may appoint a successor Trustee to replace such successor Trustee appointed by the Company.</w:t>
      </w:r>
    </w:p>
    <w:p>
      <w:pPr>
        <w:spacing w:after="0" w:line="162"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60"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Trustee, after written request by a Holder of at least six (6) months, fails to comply with </w:t>
      </w:r>
      <w:r>
        <w:rPr>
          <w:rFonts w:ascii="Times New Roman" w:cs="Times New Roman" w:eastAsia="Times New Roman" w:hAnsi="Times New Roman"/>
          <w:sz w:val="17"/>
          <w:szCs w:val="17"/>
          <w:b w:val="1"/>
          <w:bCs w:val="1"/>
          <w:color w:val="auto"/>
        </w:rPr>
        <w:t>Section 10.09</w:t>
      </w:r>
      <w:r>
        <w:rPr>
          <w:rFonts w:ascii="Times New Roman" w:cs="Times New Roman" w:eastAsia="Times New Roman" w:hAnsi="Times New Roman"/>
          <w:sz w:val="17"/>
          <w:szCs w:val="17"/>
          <w:color w:val="auto"/>
        </w:rPr>
        <w:t>, then such Holder may petition any court of competent jurisdiction for the removal of the Trustee and the appointment of a successor Trustee.</w:t>
      </w:r>
    </w:p>
    <w:p>
      <w:pPr>
        <w:spacing w:after="0" w:line="144" w:lineRule="exact"/>
        <w:rPr>
          <w:rFonts w:ascii="Times New Roman" w:cs="Times New Roman" w:eastAsia="Times New Roman" w:hAnsi="Times New Roman"/>
          <w:sz w:val="17"/>
          <w:szCs w:val="17"/>
          <w:color w:val="auto"/>
        </w:rPr>
      </w:pPr>
    </w:p>
    <w:p>
      <w:pPr>
        <w:jc w:val="both"/>
        <w:ind w:firstLine="633"/>
        <w:spacing w:after="0" w:line="266" w:lineRule="auto"/>
        <w:tabs>
          <w:tab w:leader="none" w:pos="125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7"/>
          <w:szCs w:val="17"/>
          <w:b w:val="1"/>
          <w:bCs w:val="1"/>
          <w:color w:val="auto"/>
        </w:rPr>
        <w:t>Section 10.06(D)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10.08.</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uccessor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 by</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erger</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1"/>
          <w:szCs w:val="11"/>
          <w:b w:val="1"/>
          <w:bCs w:val="1"/>
          <w:color w:val="auto"/>
        </w:rPr>
        <w:t>tc</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If the Trustee consolidates, merges or converts into, or transfers all or substantially all of its corporate trust business to, another entity, then such entity will become the successor Trustee without any further act.</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10.09.</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ligibility</w:t>
      </w:r>
      <w:r>
        <w:rPr>
          <w:rFonts w:ascii="Times New Roman" w:cs="Times New Roman" w:eastAsia="Times New Roman" w:hAnsi="Times New Roman"/>
          <w:sz w:val="17"/>
          <w:szCs w:val="17"/>
          <w:b w:val="1"/>
          <w:bCs w:val="1"/>
          <w:color w:val="auto"/>
        </w:rPr>
        <w:t>; D</w:t>
      </w:r>
      <w:r>
        <w:rPr>
          <w:rFonts w:ascii="Times New Roman" w:cs="Times New Roman" w:eastAsia="Times New Roman" w:hAnsi="Times New Roman"/>
          <w:sz w:val="11"/>
          <w:szCs w:val="11"/>
          <w:b w:val="1"/>
          <w:bCs w:val="1"/>
          <w:color w:val="auto"/>
        </w:rPr>
        <w:t>isqualification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10.10.</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r>
        <w:rPr>
          <w:rFonts w:ascii="Times New Roman" w:cs="Times New Roman" w:eastAsia="Times New Roman" w:hAnsi="Times New Roman"/>
          <w:sz w:val="17"/>
          <w:szCs w:val="17"/>
          <w:b w:val="1"/>
          <w:bCs w:val="1"/>
          <w:color w:val="auto"/>
        </w:rPr>
        <w:t>; 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ocuments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33"/>
        <w:spacing w:after="0" w:line="296" w:lineRule="auto"/>
        <w:tabs>
          <w:tab w:leader="none" w:pos="1256"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Bank Trust Company, National Association, is hereby designated and appointed as the Collateral Agent under this Indenture and the other Collateral Documents and U.S. Bank Trust Company, National Association, hereby accepts such designation and appointment.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3" w:name="page134"/>
    <w:bookmarkEnd w:id="133"/>
    <w:p>
      <w:pPr>
        <w:jc w:val="both"/>
        <w:ind w:firstLine="633"/>
        <w:spacing w:after="0" w:line="261" w:lineRule="auto"/>
        <w:tabs>
          <w:tab w:leader="none" w:pos="125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their acceptance of the Notes, the Holders hereby authorize and direct the Trustee and Collateral Agent, as the case may be, to execute and deliver any Collateral Documents in which the Trustee or the Collateral Agent, as applicable, is named as a party, including any Collateral Documents executed after the date of this Indenture. It is hereby expressly acknowledged and agreed that, in doing so, the Trustee and the Collateral Agent are (a) expressly authorized to make the representations attributed to the Holders in any such agreements and (b) not responsible for the terms or contents of such agreements, or for the validity or enforceability thereof, or the sufficiency thereof for any purpose; provided that nothing in this sentence shall be construed to relieve the Trustee or the Collateral Agent from liability for its own grossly negligent action, its own grossly negligent failure to act or its own willful misconduct. Whether or not so expressly stated therein, in entering into, or taking (or forbearing from) any action under, any Collateral Documents, the Trustee and the Collateral Agent each shall have all of the rights, immunities, indemnities and other protections granted to it under this Indenture (in addition to those that may be granted to it under the terms of such other agreement or agreements). The Collateral Agent shall have all rights, privileges and immunities as are granted to the Trustee under this Indenture.</w:t>
      </w:r>
    </w:p>
    <w:p>
      <w:pPr>
        <w:spacing w:after="0" w:line="38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10.11.</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eplacement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28"/>
        <w:spacing w:after="0" w:line="259" w:lineRule="auto"/>
        <w:rPr>
          <w:sz w:val="20"/>
          <w:szCs w:val="20"/>
          <w:color w:val="auto"/>
        </w:rPr>
      </w:pPr>
      <w:r>
        <w:rPr>
          <w:rFonts w:ascii="Times New Roman" w:cs="Times New Roman" w:eastAsia="Times New Roman" w:hAnsi="Times New Roman"/>
          <w:sz w:val="17"/>
          <w:szCs w:val="17"/>
          <w:color w:val="auto"/>
        </w:rPr>
        <w:t xml:space="preserve">The Collateral Agent may resign, be removed and be replaced in accordance with </w:t>
      </w:r>
      <w:r>
        <w:rPr>
          <w:rFonts w:ascii="Times New Roman" w:cs="Times New Roman" w:eastAsia="Times New Roman" w:hAnsi="Times New Roman"/>
          <w:sz w:val="17"/>
          <w:szCs w:val="17"/>
          <w:b w:val="1"/>
          <w:bCs w:val="1"/>
          <w:u w:val="single" w:color="auto"/>
          <w:color w:val="auto"/>
        </w:rPr>
        <w:t>Section 10.07</w:t>
      </w:r>
      <w:r>
        <w:rPr>
          <w:rFonts w:ascii="Times New Roman" w:cs="Times New Roman" w:eastAsia="Times New Roman" w:hAnsi="Times New Roman"/>
          <w:sz w:val="17"/>
          <w:szCs w:val="17"/>
          <w:color w:val="auto"/>
        </w:rPr>
        <w:t xml:space="preserve"> as though references to the Trustee therein were references to the Collateral Agent. Any successor collateral agent appointed as provided in this section shall execute, acknowledge and deliver to the Company and to its predecessor collateral agent an instrument accepting such appointment hereunder, and thereupon the resignation or removal of the predecessor collateral agent shall become effective and such successor collateral agent, without any further act, deed or conveyance, shall become vested with all the rights, powers, duties and obligations of its predecessor hereunder, with like effect as if originally named as Collateral Agent herein; but, nevertheless, on the written request of the Company or of the successor collateral agent, the collateral agent ceasing to act shall, at the expense of the Company and subject to payment of any amounts then due pursuant to the provisions of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 xml:space="preserve">, execute and deliver an instrument transferring to such successor collateral agent all the rights and powers of the trustee so ceasing to act. Upon request of any such collateral agent, the Company shall execute any and all instruments in writing for more fully and certainly vesting in and confirming to such successor collateral agent all such rights and powers. Any collateral agent ceasing to act shall, nevertheless, retain a senior lien to which the Notes are hereby made subordinate on all money or property held or collected by such collateral agent as such, except for funds held in trust for the benefit of Holders of particular Notes, to secure any amounts then due it pursuant to the provisions of </w:t>
      </w: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color w:val="auto"/>
        </w:rPr>
        <w:t xml:space="preserve">. No successor collateral agent shall accept appointment unless at the time of such acceptance, such successor collateral agent shall be eligible under the provisions of </w:t>
      </w:r>
      <w:r>
        <w:rPr>
          <w:rFonts w:ascii="Times New Roman" w:cs="Times New Roman" w:eastAsia="Times New Roman" w:hAnsi="Times New Roman"/>
          <w:sz w:val="17"/>
          <w:szCs w:val="17"/>
          <w:b w:val="1"/>
          <w:bCs w:val="1"/>
          <w:color w:val="auto"/>
        </w:rPr>
        <w:t>Section 10.09</w:t>
      </w:r>
      <w:r>
        <w:rPr>
          <w:rFonts w:ascii="Times New Roman" w:cs="Times New Roman" w:eastAsia="Times New Roman" w:hAnsi="Times New Roman"/>
          <w:sz w:val="17"/>
          <w:szCs w:val="17"/>
          <w:color w:val="auto"/>
        </w:rPr>
        <w:t xml:space="preserve">. Upon acceptance of appointment by a successor collateral agent, each of the Company and the successor collateral agent, at the written direction and at the expense of the Company, shall give or cause to be given notice of the succession of such collateral agent hereunder to the Holders in accordance with </w:t>
      </w:r>
      <w:r>
        <w:rPr>
          <w:rFonts w:ascii="Times New Roman" w:cs="Times New Roman" w:eastAsia="Times New Roman" w:hAnsi="Times New Roman"/>
          <w:sz w:val="17"/>
          <w:szCs w:val="17"/>
          <w:b w:val="1"/>
          <w:bCs w:val="1"/>
          <w:color w:val="auto"/>
        </w:rPr>
        <w:t>Section 12.01</w:t>
      </w:r>
      <w:r>
        <w:rPr>
          <w:rFonts w:ascii="Times New Roman" w:cs="Times New Roman" w:eastAsia="Times New Roman" w:hAnsi="Times New Roman"/>
          <w:sz w:val="17"/>
          <w:szCs w:val="17"/>
          <w:color w:val="auto"/>
        </w:rPr>
        <w:t>. If the Company fails to give such notice within ten days after acceptance of appointment by the successor collateral agent, the successor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collateral agent shall cause such notice to be given at the expense of the Company.</w:t>
      </w:r>
    </w:p>
    <w:p>
      <w:pPr>
        <w:spacing w:after="0" w:line="18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10.12.</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uits to</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rotect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33"/>
        <w:spacing w:after="0" w:line="298" w:lineRule="auto"/>
        <w:tabs>
          <w:tab w:leader="none" w:pos="1256"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b w:val="1"/>
          <w:bCs w:val="1"/>
          <w:color w:val="auto"/>
        </w:rPr>
        <w:t>Article 10</w:t>
      </w:r>
      <w:r>
        <w:rPr>
          <w:rFonts w:ascii="Times New Roman" w:cs="Times New Roman" w:eastAsia="Times New Roman" w:hAnsi="Times New Roman"/>
          <w:sz w:val="17"/>
          <w:szCs w:val="17"/>
          <w:color w:val="auto"/>
        </w:rPr>
        <w:t xml:space="preserve"> hereof and the Collateral Documents, the Trustee, without the consent of the Holders, on behalf of the Holders, may or may direct the Collateral Agent to take all actions it determines in order to:</w:t>
      </w:r>
    </w:p>
    <w:p>
      <w:pPr>
        <w:spacing w:after="0" w:line="144"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 any of the terms of the Collateral Documents; and</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 and receive any and all amounts payable in respect of the obligations under the Notes.</w:t>
      </w:r>
    </w:p>
    <w:p>
      <w:pPr>
        <w:spacing w:after="0" w:line="223" w:lineRule="exact"/>
        <w:rPr>
          <w:rFonts w:ascii="Times New Roman" w:cs="Times New Roman" w:eastAsia="Times New Roman" w:hAnsi="Times New Roman"/>
          <w:sz w:val="17"/>
          <w:szCs w:val="17"/>
          <w:color w:val="auto"/>
        </w:rPr>
      </w:pPr>
    </w:p>
    <w:p>
      <w:pPr>
        <w:jc w:val="both"/>
        <w:ind w:firstLine="633"/>
        <w:spacing w:after="0" w:line="266" w:lineRule="auto"/>
        <w:tabs>
          <w:tab w:leader="none" w:pos="1256"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the Collateral Documents, the Collateral Agent shall have power to institute and to maintain such suits and proceedings as the Collateral Agent may determine to prevent any impairment of the Collateral by any acts which may be unlawful or in violation of any of the Collateral Documents or this Indenture, and such suits and proceedings as the Collateral Agent may determine to preserve or protect its interests and the interests of the Holders in the Collateral. Nothing in this </w:t>
      </w:r>
      <w:r>
        <w:rPr>
          <w:rFonts w:ascii="Times New Roman" w:cs="Times New Roman" w:eastAsia="Times New Roman" w:hAnsi="Times New Roman"/>
          <w:sz w:val="17"/>
          <w:szCs w:val="17"/>
          <w:b w:val="1"/>
          <w:bCs w:val="1"/>
          <w:color w:val="auto"/>
        </w:rPr>
        <w:t>Section 10.12</w:t>
      </w:r>
      <w:r>
        <w:rPr>
          <w:rFonts w:ascii="Times New Roman" w:cs="Times New Roman" w:eastAsia="Times New Roman" w:hAnsi="Times New Roman"/>
          <w:sz w:val="17"/>
          <w:szCs w:val="17"/>
          <w:color w:val="auto"/>
        </w:rPr>
        <w:t xml:space="preserve"> shall be considered to impose any such duty or obligation to act on the part of the Collateral Agent and neither the Trustee nor the Collateral Agent shall be liable for any such impairment.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4" w:name="page135"/>
    <w:bookmarkEnd w:id="134"/>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10.13.</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r>
        <w:rPr>
          <w:rFonts w:ascii="Times New Roman" w:cs="Times New Roman" w:eastAsia="Times New Roman" w:hAnsi="Times New Roman"/>
          <w:sz w:val="17"/>
          <w:szCs w:val="17"/>
          <w:b w:val="1"/>
          <w:bCs w:val="1"/>
          <w:color w:val="auto"/>
        </w:rPr>
        <w:t>; A</w:t>
      </w:r>
      <w:r>
        <w:rPr>
          <w:rFonts w:ascii="Times New Roman" w:cs="Times New Roman" w:eastAsia="Times New Roman" w:hAnsi="Times New Roman"/>
          <w:sz w:val="11"/>
          <w:szCs w:val="11"/>
          <w:b w:val="1"/>
          <w:bCs w:val="1"/>
          <w:color w:val="auto"/>
        </w:rPr>
        <w:t>uthorization of</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ction to be</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aken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633"/>
        <w:spacing w:after="0" w:line="266" w:lineRule="auto"/>
        <w:tabs>
          <w:tab w:leader="none" w:pos="123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Collateral Agent agrees that it will hold the security interests in the Collateral created under the Collateral Documents to which it is a party as contemplated by this Indenture, and any and all proceeds thereof, for the benefit of, the Secured Parties, without limiting the Collateral Agent’s rights, including under this </w:t>
      </w:r>
      <w:r>
        <w:rPr>
          <w:rFonts w:ascii="Times New Roman" w:cs="Times New Roman" w:eastAsia="Times New Roman" w:hAnsi="Times New Roman"/>
          <w:sz w:val="17"/>
          <w:szCs w:val="17"/>
          <w:b w:val="1"/>
          <w:bCs w:val="1"/>
          <w:color w:val="auto"/>
        </w:rPr>
        <w:t>Section 10.13</w:t>
      </w:r>
      <w:r>
        <w:rPr>
          <w:rFonts w:ascii="Times New Roman" w:cs="Times New Roman" w:eastAsia="Times New Roman" w:hAnsi="Times New Roman"/>
          <w:sz w:val="17"/>
          <w:szCs w:val="17"/>
          <w:color w:val="auto"/>
        </w:rPr>
        <w:t xml:space="preserve">, to act in preservation of the security interest in the Collateral. The Collateral Agent is authorized and empowered to appoint one or more co-collateral agents as it deems necessary or appropriate;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collateral agent hereunder shall be personally liable by reason of any act or omission of any other collateral agent hereunder.</w:t>
      </w:r>
    </w:p>
    <w:p>
      <w:pPr>
        <w:spacing w:after="0" w:line="172" w:lineRule="exact"/>
        <w:rPr>
          <w:rFonts w:ascii="Times New Roman" w:cs="Times New Roman" w:eastAsia="Times New Roman" w:hAnsi="Times New Roman"/>
          <w:sz w:val="17"/>
          <w:szCs w:val="17"/>
          <w:color w:val="auto"/>
        </w:rPr>
      </w:pPr>
    </w:p>
    <w:p>
      <w:pPr>
        <w:jc w:val="both"/>
        <w:ind w:left="-20" w:firstLine="633"/>
        <w:spacing w:after="0" w:line="262" w:lineRule="auto"/>
        <w:tabs>
          <w:tab w:leader="none" w:pos="123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Trustee nor the Collateral Agent nor any of their respective officers, directors, employees, attorneys or agents will be responsible or liable for the existence, genuineness, value or protection of any Collateral, for the legality, enforceability, effectiveness, or sufficiency of the Collateral Documents, for the creation, perfection, priority, sufficiency or protection of any Lien, including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Collateral Documents or any delay in doing so. Neither the Trustee nor the Collateral Agent nor any of their respective officers, directors, employees, attorneys or agents will be responsible or liable for making any filings or recordings to perfect or maintain the perfection of the Collateral Agent’s Lien in the Collateral, including the filing of any UCC financing statements, continuation statements, Mortgages or any filings with respect to the U.S. Patent and Trademark Office or U.S. Copyright Office.</w:t>
      </w:r>
    </w:p>
    <w:p>
      <w:pPr>
        <w:spacing w:after="0" w:line="176" w:lineRule="exact"/>
        <w:rPr>
          <w:rFonts w:ascii="Times New Roman" w:cs="Times New Roman" w:eastAsia="Times New Roman" w:hAnsi="Times New Roman"/>
          <w:sz w:val="17"/>
          <w:szCs w:val="17"/>
          <w:color w:val="auto"/>
        </w:rPr>
      </w:pPr>
    </w:p>
    <w:p>
      <w:pPr>
        <w:jc w:val="both"/>
        <w:ind w:left="-20" w:firstLine="633"/>
        <w:spacing w:after="0" w:line="259" w:lineRule="auto"/>
        <w:tabs>
          <w:tab w:leader="none" w:pos="123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Collateral Agent shall not have any duties or obligations except those expressly set forth in this Indenture and the Collateral Documents to which it is a party, and its duties hereunder shall be administrative in nature. Without limiting the generality of the foregoing, (1) the Collateral Agent shall not be subject to any fiduciary or other implied duties, regardless of whether a Default or Event of Default has occurred and is continuing and, without limiting the generality of the foregoing, the use of the term “agent” herein and in the Collateral Documents with reference to the Collateral Agent is not intended to connote any fiduciary or other implied (or express) obligations arising under agency doctrine of any applicable law and instead, such term is used merely as a matter of market custom, and is intended to create or reflect only an administrative relationship between independent contracting parties, (2) the Collateral Agent shall not have any duty to take any discretionary action or exercise any discretionary powers; </w:t>
      </w:r>
      <w:r>
        <w:rPr>
          <w:rFonts w:ascii="Times New Roman" w:cs="Times New Roman" w:eastAsia="Times New Roman" w:hAnsi="Times New Roman"/>
          <w:sz w:val="17"/>
          <w:szCs w:val="17"/>
          <w:i w:val="1"/>
          <w:iCs w:val="1"/>
          <w:color w:val="auto"/>
        </w:rPr>
        <w:t>and, further,</w:t>
      </w:r>
      <w:r>
        <w:rPr>
          <w:rFonts w:ascii="Times New Roman" w:cs="Times New Roman" w:eastAsia="Times New Roman" w:hAnsi="Times New Roman"/>
          <w:sz w:val="17"/>
          <w:szCs w:val="17"/>
          <w:color w:val="auto"/>
        </w:rPr>
        <w:t xml:space="preserve"> the Collateral Agent shall not be required to take any action that, in its opinion or the opinion of its counsel, may expose the Collateral Agent to liability or that is contrary to this Indenture, the Collateral Documents or applicable laws, and (3) except as expressly set forth in the documents to which it is a party, the Collateral Agent shall not have any duty to disclose, and shall not be liable for the failure to disclose, any information relating to any the Company or any Guarantor that is communicated to or obtained by the Person serving as Collateral Agent in any capacity. The Collateral Agent shall not be liable for any action taken or not taken by it with the consent or at the request of Required Holders (or such other number or percentage of the Holders as shall be necessary, or as the Collateral Agent shall believe in good faith shall be necessary, under the circumstances) or in the absence of its own gross negligence or willful misconduct as determined by the final and non-appealable judgment of a court of competent jurisdiction, in connection with its duties expressly set forth herein. The Collateral Agent shall be deemed not to have knowledge of any Default or Event of Default unless and until written notice thereof (stating that it is a “notice of default” and describing such Default or Event of Default) is given to a Responsible Officer of the Collateral Agent by the Company or any Holder. Except as directed by Holders of not less than 25.0% of the outstanding principal amount of the Notes, and only if indemnified to its satisfaction, the Collateral Agent will not be obligated:</w:t>
      </w:r>
    </w:p>
    <w:p>
      <w:pPr>
        <w:spacing w:after="0" w:line="181"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upon directions purported to be delivered to it by any Person;</w:t>
      </w:r>
    </w:p>
    <w:p>
      <w:pPr>
        <w:spacing w:after="0" w:line="223"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foreclose upon or otherwise enforce any lien created under the Collateral Documents; or</w:t>
      </w:r>
    </w:p>
    <w:p>
      <w:pPr>
        <w:spacing w:after="0" w:line="221" w:lineRule="exact"/>
        <w:rPr>
          <w:rFonts w:ascii="Times New Roman" w:cs="Times New Roman" w:eastAsia="Times New Roman" w:hAnsi="Times New Roman"/>
          <w:sz w:val="17"/>
          <w:szCs w:val="17"/>
          <w:color w:val="auto"/>
        </w:rPr>
      </w:pPr>
    </w:p>
    <w:p>
      <w:pPr>
        <w:ind w:left="620" w:firstLine="621"/>
        <w:spacing w:after="0" w:line="298" w:lineRule="auto"/>
        <w:tabs>
          <w:tab w:leader="none" w:pos="1876"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provided in </w:t>
      </w:r>
      <w:r>
        <w:rPr>
          <w:rFonts w:ascii="Times New Roman" w:cs="Times New Roman" w:eastAsia="Times New Roman" w:hAnsi="Times New Roman"/>
          <w:sz w:val="17"/>
          <w:szCs w:val="17"/>
          <w:b w:val="1"/>
          <w:bCs w:val="1"/>
          <w:color w:val="auto"/>
        </w:rPr>
        <w:t>Section 13.02</w:t>
      </w:r>
      <w:r>
        <w:rPr>
          <w:rFonts w:ascii="Times New Roman" w:cs="Times New Roman" w:eastAsia="Times New Roman" w:hAnsi="Times New Roman"/>
          <w:sz w:val="17"/>
          <w:szCs w:val="17"/>
          <w:color w:val="auto"/>
        </w:rPr>
        <w:t>, to take any other action whatsoever with regard to any or all of the Collateral Documents or Collateral.</w:t>
      </w:r>
    </w:p>
    <w:p>
      <w:pPr>
        <w:spacing w:after="0" w:line="144" w:lineRule="exact"/>
        <w:rPr>
          <w:rFonts w:ascii="Times New Roman" w:cs="Times New Roman" w:eastAsia="Times New Roman" w:hAnsi="Times New Roman"/>
          <w:sz w:val="17"/>
          <w:szCs w:val="17"/>
          <w:color w:val="auto"/>
        </w:rPr>
      </w:pPr>
    </w:p>
    <w:p>
      <w:pPr>
        <w:jc w:val="both"/>
        <w:ind w:left="-20" w:firstLine="633"/>
        <w:spacing w:after="0" w:line="276" w:lineRule="auto"/>
        <w:tabs>
          <w:tab w:leader="none" w:pos="123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acting as Collateral Agent hereunder and under the Collateral Documents, the Collateral Agent shall be entitled to conclusively rely upon and enforce each and all of the rights, privileges, immunities, indemnities and benefits of the Trustee under Article 10;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references in such Article 10 to “Trustee” shall be references to “Collateral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35" w:name="page136"/>
    <w:bookmarkEnd w:id="135"/>
    <w:p>
      <w:pPr>
        <w:jc w:val="both"/>
        <w:ind w:firstLine="633"/>
        <w:spacing w:after="0" w:line="262" w:lineRule="auto"/>
        <w:tabs>
          <w:tab w:leader="none" w:pos="1256"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this Indenture or the Collateral Documents for being the signatory, sender or authenticator thereof). The Collateral Agent also may rely upon any statement made to it orally or by telephone and believed by it to have been made by the proper Person (whether or not such Person in fact meets the requirements set forth in this Indenture and the Collateral Documents for being the maker thereof), and may act upon any such statement prior to receipt of written confirmation thereof and shall not incur any liability for relying thereon. The Collateral Agent may consult with legal counsel, independent accountants and other experts selected by it, and shall not be liable for any action taken or not taken by it in accordance with the advice of any such counsel, accountants or experts.</w:t>
      </w:r>
    </w:p>
    <w:p>
      <w:pPr>
        <w:spacing w:after="0" w:line="176"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all times when the Trustee is not itself the Collateral Agent, the Company will deliver to the Trustee, which shall deliver to the Holders of Notes, copies of all Collateral Documents delivered to the Collateral Agent and copies of all documents delivered to the Collateral Agent pursuant to the Collateral Documents.</w:t>
      </w:r>
    </w:p>
    <w:p>
      <w:pPr>
        <w:spacing w:after="0" w:line="163"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Each Holder of Notes consents and agrees to the terms of each Collateral Document, as originally in effect and as amended, restated, amended and restated, supplemented or otherwise modified or replaced from time to time in accordance with its terms or the terms of this Indenture, authorizes and directs the Trustee and the Collateral Agent to enter into the Collateral Documents to which it is a party, authorizes and empowers the Trustee and the Collateral Agent to bind the Holders of Notes as set forth in the Collateral Documents to which it is party and to perform its obligations and exercise its rights and powers thereunder. Any request, demand, authorization, direction, notice, consent, waiver, approval, exercise of judgment or discretion, designation or other action provided or permitted by this Indenture to be given, taken or exercised by the Collateral Agent, shall be given, taken or exercised by the Collateral Agent or the Required Holders unless such action is otherwise permitted pursuant to this Indenture or the Collateral Documents (including, upon reliance of an Officer’s Certificate and/or Opinion of Counsel).</w:t>
      </w:r>
    </w:p>
    <w:p>
      <w:pPr>
        <w:spacing w:after="0" w:line="382"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10.14.</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uthorization of</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eceipt of</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unds by the</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nder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ocuments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Collateral Agent is authorized to receive any funds for the benefit of the Holders distributed under the Collateral Documents and distribute the same to the Trustee who may make further distributions of such funds to the Holders according to the provisions of this Indenture.</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10.15.</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dministrative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etermination</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4" w:lineRule="auto"/>
        <w:rPr>
          <w:sz w:val="20"/>
          <w:szCs w:val="20"/>
          <w:color w:val="auto"/>
        </w:rPr>
      </w:pPr>
      <w:r>
        <w:rPr>
          <w:rFonts w:ascii="Times New Roman" w:cs="Times New Roman" w:eastAsia="Times New Roman" w:hAnsi="Times New Roman"/>
          <w:sz w:val="17"/>
          <w:szCs w:val="17"/>
          <w:color w:val="auto"/>
        </w:rPr>
        <w:t>Neither the Deerfield Holders (in their capacity as Administrative Determination Holder(s) or otherwise) nor any of their respective directors, officers, employees, attorneys, advisors, representatives or agents shall (i) be liable to any Holder for any action taken or omitted to be taken, or any determination or direction made, by any of them under or in connection with this Indenture or any other Note Document or the transactions contemplated hereby or thereby, or</w:t>
      </w:r>
    </w:p>
    <w:p>
      <w:pPr>
        <w:spacing w:after="0" w:line="1" w:lineRule="exact"/>
        <w:rPr>
          <w:sz w:val="20"/>
          <w:szCs w:val="20"/>
          <w:color w:val="auto"/>
        </w:rPr>
      </w:pPr>
    </w:p>
    <w:p>
      <w:pPr>
        <w:jc w:val="both"/>
        <w:ind w:firstLine="5"/>
        <w:spacing w:after="0" w:line="259" w:lineRule="auto"/>
        <w:tabs>
          <w:tab w:leader="none" w:pos="263"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responsible in any manner to any Holder for any recital, statement, representation or warranty made by any Note Party or Affiliate of any Note Party, or any officer thereof, contained in this Indenture or in any other Note Document, or in any certificate, report, statement or other document referred to or provided for in, or received by the Deerfield Holders (in their capacity as Administrative Determination Holder(s) or otherwise) under or in connection with, this Indenture or any other Note Document, or the validity, effectiveness, genuineness, enforceability or sufficiency of this Indenture or any other Note Document (or the creation, perfection or priority of any Lien or security interest therein), or for any failure of any Note Party or any other party to any Note Document to perform its obligations (including the Obligations) hereunder or thereunder. The Deerfield Holders (in their capacity as Administrative Determination Holder(s) or otherwise) shall not be under any obligation to any Holder to ascertain or to inquire as to the observance or performance of any of the agreements contained in, or conditions of, this Indenture or any other Note Document, or to inspect the properties, books or records of any Note Party or any Note Party’s Affiliates.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7"/>
          <w:szCs w:val="17"/>
          <w:b w:val="1"/>
          <w:bCs w:val="1"/>
          <w:color w:val="auto"/>
        </w:rPr>
        <w:t>ARTICLE 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GUARANTEE</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11.01.</w:t>
      </w:r>
      <w:r>
        <w:rPr>
          <w:sz w:val="20"/>
          <w:szCs w:val="20"/>
          <w:color w:val="auto"/>
        </w:rPr>
        <w:tab/>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1"/>
          <w:szCs w:val="11"/>
          <w:b w:val="1"/>
          <w:bCs w:val="1"/>
          <w:color w:val="auto"/>
        </w:rPr>
        <w:t>uarantee</w:t>
      </w:r>
      <w:r>
        <w:rPr>
          <w:rFonts w:ascii="Times New Roman" w:cs="Times New Roman" w:eastAsia="Times New Roman" w:hAnsi="Times New Roman"/>
          <w:sz w:val="17"/>
          <w:szCs w:val="17"/>
          <w:i w:val="1"/>
          <w:iCs w:val="1"/>
          <w:color w:val="auto"/>
        </w:rPr>
        <w:t>.</w:t>
      </w:r>
    </w:p>
    <w:p>
      <w:pPr>
        <w:spacing w:after="0" w:line="225" w:lineRule="exact"/>
        <w:rPr>
          <w:sz w:val="20"/>
          <w:szCs w:val="20"/>
          <w:color w:val="auto"/>
        </w:rPr>
      </w:pPr>
    </w:p>
    <w:p>
      <w:pPr>
        <w:jc w:val="both"/>
        <w:ind w:firstLine="633"/>
        <w:spacing w:after="0" w:line="260" w:lineRule="auto"/>
        <w:tabs>
          <w:tab w:leader="none" w:pos="914"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this Article 11, each of the Guarantors hereby, jointly and severally, irrevocably and unconditionally, as a primary obligor and not merely as a surety, guarantees to each Holder of Notes, the Trustee, the Collateral Agent and each other Secured Party and their successors and assigns, the performance and punctual payment, when due, whether at maturity, by acceleration or otherwise, of all Obligations under the Indenture, the Notes and the other Note Documents, including principal (including the Fundamental Change Repurchase Price, if applicable), premium, if any, interest (including interest on overdue amounts), consideration due upon conversion of the Notes and all other Note Obligations (including for fees and reimbursement of expenses, indemnity or otherwise) of the Company or any Guarantor, all in accordance with the terms hereof and thereof (all of the foregoing, collectively, the “</w:t>
      </w:r>
      <w:r>
        <w:rPr>
          <w:rFonts w:ascii="Times New Roman" w:cs="Times New Roman" w:eastAsia="Times New Roman" w:hAnsi="Times New Roman"/>
          <w:sz w:val="17"/>
          <w:szCs w:val="17"/>
          <w:b w:val="1"/>
          <w:bCs w:val="1"/>
          <w:color w:val="auto"/>
        </w:rPr>
        <w:t>Guaranteed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In furtherance of the foregoing and not in limitation of any other right which any Holder of the Notes or the Trustee or the Collateral Agent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law or in equity against any Guarantor by virtue of this Article 11, failing payment when due (at maturity, by acceleration or otherwise) of any amount so guaranteed or any performance so guaranteed for whatever reason, the Guarantors will be jointly and severally obligated to pay and, if applicable, perform the Guaranteed Obligations immediately. Each Guarantor further agrees that the Guaranteed Obligations may be extended or renewed, in whole or in part, without notice or further assent from any Guarantor, and that each Guarantor shall remain bound under this Article 11 notwithstanding any extension or renewal of any Guaranteed Obligation. Each Guarantor agrees that this is a guarantee of payment and performance when due (and not a guarantee of collection) and waives any right to require that any resort be had by any Holder of the Notes or the Trustee or Collateral Agent to any security held for payment of the Guaranteed Obligations. The Guarantees shall not be convertible and shall automatically terminate with respect to a given Note when such Note is converted.</w:t>
      </w:r>
    </w:p>
    <w:p>
      <w:pPr>
        <w:spacing w:after="0" w:line="175" w:lineRule="exact"/>
        <w:rPr>
          <w:rFonts w:ascii="Times New Roman" w:cs="Times New Roman" w:eastAsia="Times New Roman" w:hAnsi="Times New Roman"/>
          <w:sz w:val="17"/>
          <w:szCs w:val="17"/>
          <w:color w:val="auto"/>
        </w:rPr>
      </w:pPr>
    </w:p>
    <w:p>
      <w:pPr>
        <w:jc w:val="both"/>
        <w:ind w:firstLine="633"/>
        <w:spacing w:after="0" w:line="262" w:lineRule="auto"/>
        <w:tabs>
          <w:tab w:leader="none" w:pos="1256"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Guarantors hereby agree that their obligations hereunder are unconditional and absolute, irrespective of (i) the validity, regularity or enforceability of the Notes, this Indenture or any other Note Document, (ii) the absence of any action to enforce the same or to exercise any right or remedy against any Guarantor, (iii) any extension or renewal of this Indenture, the Notes or any other Note Document, (iv) any rescission, settlement, compromise, waiver, modification, amendment, consent or release in respect of this Indenture, the Notes or any other Note Document or any of the Guaranteed Obligations,</w:t>
      </w:r>
    </w:p>
    <w:p>
      <w:pPr>
        <w:spacing w:after="0" w:line="1" w:lineRule="exact"/>
        <w:rPr>
          <w:rFonts w:ascii="Times New Roman" w:cs="Times New Roman" w:eastAsia="Times New Roman" w:hAnsi="Times New Roman"/>
          <w:sz w:val="17"/>
          <w:szCs w:val="17"/>
          <w:color w:val="auto"/>
        </w:rPr>
      </w:pPr>
    </w:p>
    <w:p>
      <w:pPr>
        <w:jc w:val="both"/>
        <w:ind w:firstLine="5"/>
        <w:spacing w:after="0" w:line="257" w:lineRule="auto"/>
        <w:tabs>
          <w:tab w:leader="none" w:pos="261"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corporate existence, structure or ownership of the Company, any Guarantor or any of their respective Subsidiaries, (vi) any insolvency, bankruptcy, reorganization or other similar proceeding affecting the Company, any Guarantor, any of their respective Subsidiaries or any of their respective assets or any resulting release or discharge of any obligation of the Company, any Guarantor or any of their respective Subsidiaries contained in this Indenture, the Notes or any other Note Document, (vii) the existence of any claim, set-off or other rights which any Guarantor may have at any time against the Company, the Trustee, the Collateral Agent or any other Secured Party, whether in connection with this Indenture, the Notes, any other Note Document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herein prevents the assertion of any such claim by separate suit or compulsory counterclaim), (viii) any invalidity or unenforceability relating to or against the Company for any reason of this Indenture, the Notes or any of the other Note Documents, (ix) any provision of applicable law or regulation purporting to prohibit the payment by the Company or any of the Guarantors of the principal of or interest on the Notes or any other amount payable and/or deliverable by the Company under this Indenture, the Notes or any other Note Document, (x) the recovery of any judgment against the Company or any Guarantor, any action to enforce the same or any other circumstance which might otherwise constitute a legal or equitable discharge or defense of a Guarantor, or (xi) any other act or omission to act or delay of any kind by the Company, the Trustee, the Collateral Agent or any other Secured Party or any other circumstance whatsoever which might, but for the provisions of this paragraph, constitute a legal or equitable discharge of or defense to such Guarantor’s obligations hereunder, except in the case of clause (x) and (xi), defense of payment in full of the Note Obligations. Each Guarantor hereby waives diligence, presentment, demand of payment and protest to the Company, filing of claims with a court in the event of insolvency or bankruptcy of the Company, any right to require a proceeding first against the Company, protest, notice and all demands whatsoever and covenant that this Guarantee will not be discharged except by complete payment of the obligations contained in the Notes and this Indenture. Each Guarantor hereby waives any right to which it may be entitled to have its Guarantee hereunder divided among the Guarantors, such that such Guarantor’s Guarantee would be less than the full amount claimed. Each Guarantor hereby waives any right to which it may be entitled to have the assets of the Company first be used and depleted as payment of the Company’s obligations under this Indenture, the Notes and the other Note Documents and such Guarantor’s Guarantee hereunder prior to any amounts being claimed from or paid by such Guarantor hereunder. Each Guarantor hereby waives any right to which it may be entitled to require that the Company be sued prior to an action being initiated against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7" w:name="page138"/>
    <w:bookmarkEnd w:id="137"/>
    <w:p>
      <w:pPr>
        <w:jc w:val="both"/>
        <w:ind w:firstLine="633"/>
        <w:spacing w:after="0" w:line="262" w:lineRule="auto"/>
        <w:tabs>
          <w:tab w:leader="none" w:pos="125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set forth in </w:t>
      </w:r>
      <w:r>
        <w:rPr>
          <w:rFonts w:ascii="Times New Roman" w:cs="Times New Roman" w:eastAsia="Times New Roman" w:hAnsi="Times New Roman"/>
          <w:sz w:val="17"/>
          <w:szCs w:val="17"/>
          <w:b w:val="1"/>
          <w:bCs w:val="1"/>
          <w:color w:val="auto"/>
        </w:rPr>
        <w:t>Section 11.02</w:t>
      </w:r>
      <w:r>
        <w:rPr>
          <w:rFonts w:ascii="Times New Roman" w:cs="Times New Roman" w:eastAsia="Times New Roman" w:hAnsi="Times New Roman"/>
          <w:sz w:val="17"/>
          <w:szCs w:val="17"/>
          <w:color w:val="auto"/>
        </w:rPr>
        <w:t>, the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 of each Guarantor herein shall not be discharged or impaired or otherwise affected by the failure of any Holder or the Trustee or Collateral Agent to assert any claim or demand or to enforce any remedy under this Indenture, the Notes or any other Note Document,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176" w:lineRule="exact"/>
        <w:rPr>
          <w:rFonts w:ascii="Times New Roman" w:cs="Times New Roman" w:eastAsia="Times New Roman" w:hAnsi="Times New Roman"/>
          <w:sz w:val="17"/>
          <w:szCs w:val="17"/>
          <w:color w:val="auto"/>
        </w:rPr>
      </w:pPr>
    </w:p>
    <w:p>
      <w:pPr>
        <w:jc w:val="both"/>
        <w:ind w:firstLine="633"/>
        <w:spacing w:after="0" w:line="267" w:lineRule="auto"/>
        <w:tabs>
          <w:tab w:leader="none" w:pos="125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set forth in </w:t>
      </w:r>
      <w:r>
        <w:rPr>
          <w:rFonts w:ascii="Times New Roman" w:cs="Times New Roman" w:eastAsia="Times New Roman" w:hAnsi="Times New Roman"/>
          <w:sz w:val="17"/>
          <w:szCs w:val="17"/>
          <w:b w:val="1"/>
          <w:bCs w:val="1"/>
          <w:color w:val="auto"/>
        </w:rPr>
        <w:t>Section 11.06</w:t>
      </w:r>
      <w:r>
        <w:rPr>
          <w:rFonts w:ascii="Times New Roman" w:cs="Times New Roman" w:eastAsia="Times New Roman" w:hAnsi="Times New Roman"/>
          <w:sz w:val="17"/>
          <w:szCs w:val="17"/>
          <w:color w:val="auto"/>
        </w:rPr>
        <w:t>, each Guarantor agrees that its Guarantee shall remain in full force and effect until payment, performance and delivery in full of all the Guaranteed Obligations of such Guarantor. Each Guarantor further agrees that its Guarantee herein shall continue to be effective or be reinstated, as the case may be, if at any time payment, or any part thereof, of principal of or interest on any Guaranteed Obligation is rescinded or must otherwise be restored by any Holder of the Notes or the Trustee or Collateral Agent upon the bankruptcy or reorganization of Company or any Guarantor or otherwise.</w:t>
      </w:r>
    </w:p>
    <w:p>
      <w:pPr>
        <w:spacing w:after="0" w:line="170"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Guarantor agrees that it will not be entitled to any right of subrogation in relation to the Holders in respect of any obligations guaranteed hereby until payment and performance in full of all Guaranteed Obligations. The Guarantors will have the right to seek contribution from any non-paying Guarantor so long as the exercise of such right does not impair the rights of the Holders under the Guarantee.</w:t>
      </w:r>
    </w:p>
    <w:p>
      <w:pPr>
        <w:spacing w:after="0" w:line="162"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agreed and understood that if the Company opts to provide New York law governed Guarantee and local law governed Collateral Documents from any Subsidiary that the Company determines pursuant to the second proviso in the definition of “Excluded Subsidiary”, then the Administrative Determination Holder and the Company shall negotiate in good faith to agree to the agreed security principles with respect to such Subsidiary Guarantor consistent with market conventions.</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11.02.</w:t>
      </w:r>
      <w:r>
        <w:rPr>
          <w:sz w:val="20"/>
          <w:szCs w:val="20"/>
          <w:color w:val="auto"/>
        </w:rPr>
        <w:tab/>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imitation on</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1"/>
          <w:szCs w:val="11"/>
          <w:b w:val="1"/>
          <w:bCs w:val="1"/>
          <w:color w:val="auto"/>
        </w:rPr>
        <w:t>uarantor</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iability</w:t>
      </w:r>
      <w:r>
        <w:rPr>
          <w:rFonts w:ascii="Times New Roman" w:cs="Times New Roman" w:eastAsia="Times New Roman" w:hAnsi="Times New Roman"/>
          <w:sz w:val="17"/>
          <w:szCs w:val="17"/>
          <w:i w:val="1"/>
          <w:iCs w:val="1"/>
          <w:color w:val="auto"/>
        </w:rPr>
        <w:t>.</w:t>
      </w:r>
    </w:p>
    <w:p>
      <w:pPr>
        <w:spacing w:after="0" w:line="225"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Each Guarantor, the Trustee and the Collateral Agent,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Collateral Agent,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and, if applicable, deliveries made by or on behalf of any other Guarantor in respect of the obligations of such other Guarantor under this Article 11, result in the obligations of such Guarantor under its Guarantee not constituting a fraudulent transfer or conveyance.</w:t>
      </w:r>
    </w:p>
    <w:p>
      <w:pPr>
        <w:spacing w:after="0" w:line="17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11.03.</w:t>
      </w:r>
      <w:r>
        <w:rPr>
          <w:sz w:val="20"/>
          <w:szCs w:val="20"/>
          <w:color w:val="auto"/>
        </w:rPr>
        <w:tab/>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1"/>
          <w:szCs w:val="11"/>
          <w:b w:val="1"/>
          <w:bCs w:val="1"/>
          <w:color w:val="auto"/>
        </w:rPr>
        <w:t>uarantors</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onsolidate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etc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ertain</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erms</w:t>
      </w:r>
      <w:r>
        <w:rPr>
          <w:rFonts w:ascii="Times New Roman" w:cs="Times New Roman" w:eastAsia="Times New Roman" w:hAnsi="Times New Roman"/>
          <w:sz w:val="17"/>
          <w:szCs w:val="17"/>
          <w:i w:val="1"/>
          <w:iCs w:val="1"/>
          <w:color w:val="auto"/>
        </w:rPr>
        <w:t>.</w:t>
      </w:r>
    </w:p>
    <w:p>
      <w:pPr>
        <w:spacing w:after="0" w:line="225" w:lineRule="exact"/>
        <w:rPr>
          <w:sz w:val="20"/>
          <w:szCs w:val="20"/>
          <w:color w:val="auto"/>
        </w:rPr>
      </w:pPr>
    </w:p>
    <w:p>
      <w:pPr>
        <w:jc w:val="both"/>
        <w:ind w:firstLine="633"/>
        <w:spacing w:after="0" w:line="276" w:lineRule="auto"/>
        <w:tabs>
          <w:tab w:leader="none" w:pos="1256"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a transaction made in compliance with Section 6 or this Section 11.03, no Guarantor may consolidate with or merge into any other Person other than the Company or another Guarantor, or convey, transfer or lease its properties and assets substantially as an entirety to any Person, other than to the Company or another Guarantor, unless, in each case:</w:t>
      </w:r>
    </w:p>
    <w:p>
      <w:pPr>
        <w:spacing w:after="0" w:line="162" w:lineRule="exact"/>
        <w:rPr>
          <w:rFonts w:ascii="Times New Roman" w:cs="Times New Roman" w:eastAsia="Times New Roman" w:hAnsi="Times New Roman"/>
          <w:sz w:val="17"/>
          <w:szCs w:val="17"/>
          <w:color w:val="auto"/>
        </w:rPr>
      </w:pPr>
    </w:p>
    <w:p>
      <w:pPr>
        <w:jc w:val="both"/>
        <w:ind w:left="640" w:firstLine="1249"/>
        <w:spacing w:after="0" w:line="270" w:lineRule="auto"/>
        <w:tabs>
          <w:tab w:leader="none" w:pos="2524"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 in the case of a consolidation or merger, the Guarantor is the surviving entity, or (b) the Person formed by or surviving such consolidation or merger (if other than the Guarantor) or the Person to which such sale, assignment, transfer, conveyance, lease or other disposition has been made (such Person, the “</w:t>
      </w:r>
      <w:r>
        <w:rPr>
          <w:rFonts w:ascii="Times New Roman" w:cs="Times New Roman" w:eastAsia="Times New Roman" w:hAnsi="Times New Roman"/>
          <w:sz w:val="17"/>
          <w:szCs w:val="17"/>
          <w:b w:val="1"/>
          <w:bCs w:val="1"/>
          <w:color w:val="auto"/>
        </w:rPr>
        <w:t>Successor Guarantor</w:t>
      </w:r>
      <w:r>
        <w:rPr>
          <w:rFonts w:ascii="Times New Roman" w:cs="Times New Roman" w:eastAsia="Times New Roman" w:hAnsi="Times New Roman"/>
          <w:sz w:val="17"/>
          <w:szCs w:val="17"/>
          <w:color w:val="auto"/>
        </w:rPr>
        <w:t>”) shall expressly assume by supplemental indenture, or other amendment or supplement, all of the obligations of the Guarantor under the Note Documents;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8" w:name="page139"/>
    <w:bookmarkEnd w:id="138"/>
    <w:p>
      <w:pPr>
        <w:ind w:left="640" w:firstLine="1249"/>
        <w:spacing w:after="0" w:line="296" w:lineRule="auto"/>
        <w:tabs>
          <w:tab w:leader="none" w:pos="2524"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Guarantor, if any, is an entity organized and existing under the laws of the United States of America, any state thereof or the District of Columbia;</w:t>
      </w:r>
    </w:p>
    <w:p>
      <w:pPr>
        <w:spacing w:after="0" w:line="145" w:lineRule="exact"/>
        <w:rPr>
          <w:rFonts w:ascii="Times New Roman" w:cs="Times New Roman" w:eastAsia="Times New Roman" w:hAnsi="Times New Roman"/>
          <w:sz w:val="17"/>
          <w:szCs w:val="17"/>
          <w:color w:val="auto"/>
        </w:rPr>
      </w:pPr>
    </w:p>
    <w:p>
      <w:pPr>
        <w:ind w:left="2520" w:hanging="631"/>
        <w:spacing w:after="0"/>
        <w:tabs>
          <w:tab w:leader="none" w:pos="2520"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transactions, no Default or Event of Default shall have occurred and be continuing;</w:t>
      </w:r>
    </w:p>
    <w:p>
      <w:pPr>
        <w:spacing w:after="0" w:line="223" w:lineRule="exact"/>
        <w:rPr>
          <w:rFonts w:ascii="Times New Roman" w:cs="Times New Roman" w:eastAsia="Times New Roman" w:hAnsi="Times New Roman"/>
          <w:sz w:val="17"/>
          <w:szCs w:val="17"/>
          <w:color w:val="auto"/>
        </w:rPr>
      </w:pPr>
    </w:p>
    <w:p>
      <w:pPr>
        <w:jc w:val="both"/>
        <w:ind w:left="640" w:firstLine="1249"/>
        <w:spacing w:after="0" w:line="276" w:lineRule="auto"/>
        <w:tabs>
          <w:tab w:leader="none" w:pos="2524"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has delivered to the Trustee and Collateral Agent an Officer’s Certificate and an Opinion of Counsel, each stating that such transaction complies with this Article and that all conditions precedent provided for in this Indenture and the other Note Documents relating to such transaction have been complied with.</w:t>
      </w:r>
    </w:p>
    <w:p>
      <w:pPr>
        <w:spacing w:after="0" w:line="162" w:lineRule="exact"/>
        <w:rPr>
          <w:rFonts w:ascii="Times New Roman" w:cs="Times New Roman" w:eastAsia="Times New Roman" w:hAnsi="Times New Roman"/>
          <w:sz w:val="17"/>
          <w:szCs w:val="17"/>
          <w:color w:val="auto"/>
        </w:rPr>
      </w:pPr>
    </w:p>
    <w:p>
      <w:pPr>
        <w:jc w:val="both"/>
        <w:ind w:firstLine="633"/>
        <w:spacing w:after="0" w:line="262" w:lineRule="auto"/>
        <w:tabs>
          <w:tab w:leader="none" w:pos="125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such consolidation, merger, sale or conveyance and upon the assumption by the Successor Guarantor, by supplemental indenture or other amendment or supplement, as applicable, executed and delivered to the Trustee and the Collateral Agent, of the Guarantee and the due and punctual performance of all of the obligations under this Indenture, the Collateral Documents and the other Note Documents to be performed by the Guarantor, such successor Person shall succeed to and be substituted for the Guarantor with the same effect as if it had been named herein as a Guarantor. Such Successor Guarantor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on the date of the execution hereof.</w:t>
      </w:r>
    </w:p>
    <w:p>
      <w:pPr>
        <w:spacing w:after="0" w:line="17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11.04.</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tay of</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cceleration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If acceleration of the time for payment of any amount payable by the Company under this Indenture or the Notes is stayed upon the insolvency, bankruptcy or reorganization of the Company, all such amounts otherwise subject to acceleration under the terms of this Indenture are nonetheless payable by the Guarantors hereunder forthwith on demand by the Trustee, the Collateral Agent or the Holders.</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11.05.</w:t>
      </w:r>
      <w:r>
        <w:rPr>
          <w:sz w:val="20"/>
          <w:szCs w:val="20"/>
          <w:color w:val="auto"/>
        </w:rPr>
        <w:tab/>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xecution and</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elivery of</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1"/>
          <w:szCs w:val="11"/>
          <w:b w:val="1"/>
          <w:bCs w:val="1"/>
          <w:color w:val="auto"/>
        </w:rPr>
        <w:t>uarantee</w:t>
      </w:r>
      <w:r>
        <w:rPr>
          <w:rFonts w:ascii="Times New Roman" w:cs="Times New Roman" w:eastAsia="Times New Roman" w:hAnsi="Times New Roman"/>
          <w:sz w:val="17"/>
          <w:szCs w:val="17"/>
          <w:i w:val="1"/>
          <w:iCs w:val="1"/>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execution by each future Guarantor of a supplemental indenture evidences the Guarantee of such Guarantor. The delivery of Notes by the Trustee after authentication constitutes due delivery of the Guarantee set forth in this Indenture on behalf of each Guarantor.</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11.06.</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eleases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33"/>
        <w:spacing w:after="0" w:line="296" w:lineRule="auto"/>
        <w:tabs>
          <w:tab w:leader="none" w:pos="125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Guarantor’s Guarantee with respect to the Notes will be unconditionally, automatically and immediately released and discharged (without the necessity of any action by the Trustee or the Collateral Agent or any Holder) upon:</w:t>
      </w:r>
    </w:p>
    <w:p>
      <w:pPr>
        <w:spacing w:after="0" w:line="145" w:lineRule="exact"/>
        <w:rPr>
          <w:rFonts w:ascii="Times New Roman" w:cs="Times New Roman" w:eastAsia="Times New Roman" w:hAnsi="Times New Roman"/>
          <w:sz w:val="17"/>
          <w:szCs w:val="17"/>
          <w:color w:val="auto"/>
        </w:rPr>
      </w:pPr>
    </w:p>
    <w:p>
      <w:pPr>
        <w:jc w:val="both"/>
        <w:ind w:left="640" w:firstLine="621"/>
        <w:spacing w:after="0" w:line="276" w:lineRule="auto"/>
        <w:tabs>
          <w:tab w:leader="none" w:pos="1896"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any sale or other disposition of all or substantially all of the properties or assets of that Guarantor, by way of merger, consolidation, amalgamation, dividend distribution or otherwise, to a Person that is not (either before or after giving effect to such transaction) the Company or a Subsidiary of the Company, to the extent such sale or other disposition is permitted by this Indenture;</w:t>
      </w:r>
    </w:p>
    <w:p>
      <w:pPr>
        <w:spacing w:after="0" w:line="162" w:lineRule="exact"/>
        <w:rPr>
          <w:rFonts w:ascii="Times New Roman" w:cs="Times New Roman" w:eastAsia="Times New Roman" w:hAnsi="Times New Roman"/>
          <w:sz w:val="17"/>
          <w:szCs w:val="17"/>
          <w:color w:val="auto"/>
        </w:rPr>
      </w:pPr>
    </w:p>
    <w:p>
      <w:pPr>
        <w:jc w:val="both"/>
        <w:ind w:left="640" w:firstLine="621"/>
        <w:spacing w:after="0" w:line="270" w:lineRule="auto"/>
        <w:tabs>
          <w:tab w:leader="none" w:pos="1896"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any sale, exchange, transfer or other disposition of the Capital Stock of that Guarantor (by way of merger, consolidation, amalgamation, dividend distribution or otherwise) to a Person that is not (either before or after giving effect to such transaction) the Company or a Subsidiary of the Company, to the extent such sale or other disposition is permitted by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Guarantor ceases to be a Subsidiary of the Company as a result of the sale or other disposition;</w:t>
      </w:r>
    </w:p>
    <w:p>
      <w:pPr>
        <w:spacing w:after="0" w:line="16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liquidation or dissolution of such Guarantor;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no Default or Event of Default occurs as a result thereof or has occurred or</w:t>
      </w:r>
    </w:p>
    <w:p>
      <w:pPr>
        <w:spacing w:after="0" w:line="33"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continuing;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9" w:name="page140"/>
    <w:bookmarkEnd w:id="139"/>
    <w:p>
      <w:pPr>
        <w:jc w:val="both"/>
        <w:ind w:left="640" w:firstLine="621"/>
        <w:spacing w:after="0" w:line="276" w:lineRule="auto"/>
        <w:tabs>
          <w:tab w:leader="none" w:pos="1896"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Guarantor consolidating with, amalgamating with, merging into or transferring all of its properties or assets to the Company or another Guarantor, and as a result of, or in connection with, such transaction such Guarantor dissolves or otherwise ceases to exist, to the extent such transaction is permitted by this Indenture;</w:t>
      </w:r>
    </w:p>
    <w:p>
      <w:pPr>
        <w:spacing w:after="0" w:line="162"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(D) below, in the event such Guarantor becomes an Excluded Subsidiary;</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satisfaction and discharge of this Indenture in respect of the Notes as provided in Article 9 hereof;</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of all outstanding Notes into equity; or</w:t>
      </w:r>
    </w:p>
    <w:p>
      <w:pPr>
        <w:spacing w:after="0" w:line="223"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exercising its Legal Defeasance or Covenant Defeasance options as provided for under Section 14.02 hereof.</w:t>
      </w:r>
    </w:p>
    <w:p>
      <w:pPr>
        <w:spacing w:after="0" w:line="223" w:lineRule="exact"/>
        <w:rPr>
          <w:rFonts w:ascii="Times New Roman" w:cs="Times New Roman" w:eastAsia="Times New Roman" w:hAnsi="Times New Roman"/>
          <w:sz w:val="17"/>
          <w:szCs w:val="17"/>
          <w:color w:val="auto"/>
        </w:rPr>
      </w:pPr>
    </w:p>
    <w:p>
      <w:pPr>
        <w:jc w:val="both"/>
        <w:ind w:firstLine="633"/>
        <w:spacing w:after="0" w:line="270" w:lineRule="auto"/>
        <w:tabs>
          <w:tab w:leader="none" w:pos="1256"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delivery by the Company to the Trustee and the Collateral Agent of an Officer’s Certificate and Opinion of Counsel to the effect that the action or event giving rise to a release has occurred as specified above, the Trustee or the Collateral Agent, as applicable, shall, upon receipt by it of the documents described in </w:t>
      </w:r>
      <w:r>
        <w:rPr>
          <w:rFonts w:ascii="Times New Roman" w:cs="Times New Roman" w:eastAsia="Times New Roman" w:hAnsi="Times New Roman"/>
          <w:sz w:val="17"/>
          <w:szCs w:val="17"/>
          <w:b w:val="1"/>
          <w:bCs w:val="1"/>
          <w:color w:val="auto"/>
        </w:rPr>
        <w:t>Section 12.02</w:t>
      </w:r>
      <w:r>
        <w:rPr>
          <w:rFonts w:ascii="Times New Roman" w:cs="Times New Roman" w:eastAsia="Times New Roman" w:hAnsi="Times New Roman"/>
          <w:sz w:val="17"/>
          <w:szCs w:val="17"/>
          <w:color w:val="auto"/>
        </w:rPr>
        <w:t>, execute any documents reasonably requested by the Company or the Trustee in order to evidence the release of any Guarantor from its obligations under its Guarantee.</w:t>
      </w:r>
    </w:p>
    <w:p>
      <w:pPr>
        <w:spacing w:after="0" w:line="165"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Guarantor not released from its obligations under its Guarantee as provided in this </w:t>
      </w:r>
      <w:r>
        <w:rPr>
          <w:rFonts w:ascii="Times New Roman" w:cs="Times New Roman" w:eastAsia="Times New Roman" w:hAnsi="Times New Roman"/>
          <w:sz w:val="17"/>
          <w:szCs w:val="17"/>
          <w:b w:val="1"/>
          <w:bCs w:val="1"/>
          <w:color w:val="auto"/>
        </w:rPr>
        <w:t>Section 11.06</w:t>
      </w:r>
      <w:r>
        <w:rPr>
          <w:rFonts w:ascii="Times New Roman" w:cs="Times New Roman" w:eastAsia="Times New Roman" w:hAnsi="Times New Roman"/>
          <w:sz w:val="17"/>
          <w:szCs w:val="17"/>
          <w:color w:val="auto"/>
        </w:rPr>
        <w:t xml:space="preserve"> will remain liable for the full amount of principal of and interest on the Notes and for the other Note Obligations of the Company and any Guarantor under this Indenture as provided in this Article 11.</w:t>
      </w:r>
    </w:p>
    <w:p>
      <w:pPr>
        <w:spacing w:after="0" w:line="142" w:lineRule="exact"/>
        <w:rPr>
          <w:rFonts w:ascii="Times New Roman" w:cs="Times New Roman" w:eastAsia="Times New Roman" w:hAnsi="Times New Roman"/>
          <w:sz w:val="17"/>
          <w:szCs w:val="17"/>
          <w:color w:val="auto"/>
        </w:rPr>
      </w:pPr>
    </w:p>
    <w:p>
      <w:pPr>
        <w:jc w:val="both"/>
        <w:ind w:firstLine="633"/>
        <w:spacing w:after="0" w:line="269" w:lineRule="auto"/>
        <w:tabs>
          <w:tab w:leader="none" w:pos="1256"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Section 11.06</w:t>
      </w:r>
      <w:r>
        <w:rPr>
          <w:rFonts w:ascii="Times New Roman" w:cs="Times New Roman" w:eastAsia="Times New Roman" w:hAnsi="Times New Roman"/>
          <w:sz w:val="17"/>
          <w:szCs w:val="17"/>
          <w:color w:val="auto"/>
        </w:rPr>
        <w:t>, the release of a Guarantee by a Guarantor and the release of a Lien on assets of a Guarantor securing the Obligations, in each case, solely as a result of such Guarantor becoming an Excluded Subsidiary shall only be permitted if at such time</w:t>
      </w:r>
    </w:p>
    <w:p>
      <w:pPr>
        <w:jc w:val="both"/>
        <w:ind w:firstLine="5"/>
        <w:spacing w:after="0" w:line="262" w:lineRule="auto"/>
        <w:tabs>
          <w:tab w:leader="none" w:pos="25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shall have occurred and be outstanding, (2) after giving pro forma effect to such release and the consummation of the transaction that causes such Person to be an Excluded Subsidiary, the Company is deemed to have made a new Investment in such Person (as if such Person were then newly acquired) and such Investment is permitted at such time and (3) such transaction shall have been permitted hereunder and made to or with a bona fide unaffiliated third party for bona fide business purposes (as determined by the Company in good faith).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12.01.</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Any notice or communication by the Company, the Trustee or the Collateral Agent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Beauty Health Company</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2165 Spring Street</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Long Beach, CA 90806</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Latham &amp; Watkins LLP</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10250 Constellation Blvd., Suite 1100</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Los Angeles, CA 90067</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Attention: Brent T. Epstein</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 Brent.Epstein@lw.com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0" w:name="page141"/>
    <w:bookmarkEnd w:id="140"/>
    <w:p>
      <w:pPr>
        <w:ind w:left="640"/>
        <w:spacing w:after="0"/>
        <w:rPr>
          <w:sz w:val="20"/>
          <w:szCs w:val="20"/>
          <w:color w:val="auto"/>
        </w:rPr>
      </w:pPr>
      <w:r>
        <w:rPr>
          <w:rFonts w:ascii="Times New Roman" w:cs="Times New Roman" w:eastAsia="Times New Roman" w:hAnsi="Times New Roman"/>
          <w:sz w:val="17"/>
          <w:szCs w:val="17"/>
          <w:color w:val="auto"/>
        </w:rPr>
        <w:t>If to the Trustee or Collateral Agent:</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635 West 5th Street, 24th Floor</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Los Angeles, CA 90071</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Attention: Bradley E. Scarbrough</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 bradley.scarbrough@usbank.com</w:t>
      </w:r>
    </w:p>
    <w:p>
      <w:pPr>
        <w:spacing w:after="0" w:line="20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Notwithstanding anything to the contrary in the preceding paragraph, notices to the Trustee, Collateral Agent or any Note Agent must be in writing and will be deemed to have been given upon actual receipt by the Trustee, Collateral Agent or such Note Agent, as applicable.</w:t>
      </w:r>
    </w:p>
    <w:p>
      <w:pPr>
        <w:spacing w:after="0" w:line="146"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Company, the Trustee or the Collateral Agent, by notice to the other, may designate additional or different addresses (including facsimile numbers and electronic addresses) for subsequent notices or communications.</w:t>
      </w:r>
    </w:p>
    <w:p>
      <w:pPr>
        <w:spacing w:after="0" w:line="146"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67"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Each other party assumes all risks arising out of the use of electronic signatures and electronic methods to send communications to the Trustee, including without limitation the risk of the Trustee acting on an unauthorized communication, and the risk of interception or misuse by third parties. Notwithstanding the foregoing, the Trustee may in any instance and in its sole discretion require that an original document bearing a manual signature be delivered to the Trustee in lieu of, or in addition to, any such electronic communication.</w:t>
      </w:r>
    </w:p>
    <w:p>
      <w:pPr>
        <w:spacing w:after="0" w:line="177"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73"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73"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If a notice or communication is mailed or sent in the manner provided above within the time prescribed, it will be deemed to have been duly given, whether or not the addressee receives it.</w:t>
      </w:r>
    </w:p>
    <w:p>
      <w:pPr>
        <w:spacing w:after="0" w:line="146"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1" w:name="page142"/>
    <w:bookmarkEnd w:id="141"/>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12.02.</w:t>
      </w:r>
      <w:r>
        <w:rPr>
          <w:sz w:val="20"/>
          <w:szCs w:val="20"/>
          <w:color w:val="auto"/>
        </w:rPr>
        <w:tab/>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elivery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fficer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ertificate and</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pinion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ounsel as to</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onditions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recedent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28"/>
        <w:spacing w:after="0" w:line="296" w:lineRule="auto"/>
        <w:rPr>
          <w:sz w:val="20"/>
          <w:szCs w:val="20"/>
          <w:color w:val="auto"/>
        </w:rPr>
      </w:pPr>
      <w:r>
        <w:rPr>
          <w:rFonts w:ascii="Times New Roman" w:cs="Times New Roman" w:eastAsia="Times New Roman" w:hAnsi="Times New Roman"/>
          <w:sz w:val="17"/>
          <w:szCs w:val="17"/>
          <w:color w:val="auto"/>
        </w:rPr>
        <w:t>Upon any request or application by the Company to the Trustee or Collateral Agent to take any action under this Indenture or Collateral Documents (other than the initial authentication of Notes under this Indenture), the Company will furnish to the Trustee or Collateral Agent, as applicable:</w:t>
      </w:r>
    </w:p>
    <w:p>
      <w:pPr>
        <w:spacing w:after="0" w:line="144" w:lineRule="exact"/>
        <w:rPr>
          <w:sz w:val="20"/>
          <w:szCs w:val="20"/>
          <w:color w:val="auto"/>
        </w:rPr>
      </w:pPr>
    </w:p>
    <w:p>
      <w:pPr>
        <w:ind w:firstLine="633"/>
        <w:spacing w:after="0" w:line="298" w:lineRule="auto"/>
        <w:tabs>
          <w:tab w:leader="none" w:pos="1256"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Officer’s Certificate that complies with </w:t>
      </w:r>
      <w:r>
        <w:rPr>
          <w:rFonts w:ascii="Times New Roman" w:cs="Times New Roman" w:eastAsia="Times New Roman" w:hAnsi="Times New Roman"/>
          <w:sz w:val="17"/>
          <w:szCs w:val="17"/>
          <w:b w:val="1"/>
          <w:bCs w:val="1"/>
          <w:color w:val="auto"/>
        </w:rPr>
        <w:t>Section 12.03</w:t>
      </w:r>
      <w:r>
        <w:rPr>
          <w:rFonts w:ascii="Times New Roman" w:cs="Times New Roman" w:eastAsia="Times New Roman" w:hAnsi="Times New Roman"/>
          <w:sz w:val="17"/>
          <w:szCs w:val="17"/>
          <w:color w:val="auto"/>
        </w:rPr>
        <w:t xml:space="preserve"> and states that, in the opinion of the signatory thereto, all conditions precedent and covenants, if any, provided for in this Indenture relating to such action have been satisfied; and</w:t>
      </w:r>
    </w:p>
    <w:p>
      <w:pPr>
        <w:spacing w:after="0" w:line="142"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Opinion of Counsel that complies with </w:t>
      </w:r>
      <w:r>
        <w:rPr>
          <w:rFonts w:ascii="Times New Roman" w:cs="Times New Roman" w:eastAsia="Times New Roman" w:hAnsi="Times New Roman"/>
          <w:sz w:val="17"/>
          <w:szCs w:val="17"/>
          <w:b w:val="1"/>
          <w:bCs w:val="1"/>
          <w:color w:val="auto"/>
        </w:rPr>
        <w:t>Section 12.03</w:t>
      </w:r>
      <w:r>
        <w:rPr>
          <w:rFonts w:ascii="Times New Roman" w:cs="Times New Roman" w:eastAsia="Times New Roman" w:hAnsi="Times New Roman"/>
          <w:sz w:val="17"/>
          <w:szCs w:val="17"/>
          <w:color w:val="auto"/>
        </w:rPr>
        <w:t xml:space="preserve"> and states that, in the opinion of such counsel, all such conditions precedent and covenants, if any, have been satisfied.</w:t>
      </w:r>
    </w:p>
    <w:p>
      <w:pPr>
        <w:spacing w:after="0" w:line="14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12.03.</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tatements</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equired in</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fficer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ertificate and</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pinion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ounsel</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28"/>
        <w:spacing w:after="0" w:line="298" w:lineRule="auto"/>
        <w:rPr>
          <w:sz w:val="20"/>
          <w:szCs w:val="20"/>
          <w:color w:val="auto"/>
        </w:rPr>
      </w:pPr>
      <w:r>
        <w:rPr>
          <w:rFonts w:ascii="Times New Roman" w:cs="Times New Roman" w:eastAsia="Times New Roman" w:hAnsi="Times New Roman"/>
          <w:sz w:val="17"/>
          <w:szCs w:val="17"/>
          <w:color w:val="auto"/>
        </w:rPr>
        <w:t xml:space="preserve">Each Officer’s Certificate (other than an Officer’s Certificate pursuant to </w:t>
      </w:r>
      <w:r>
        <w:rPr>
          <w:rFonts w:ascii="Times New Roman" w:cs="Times New Roman" w:eastAsia="Times New Roman" w:hAnsi="Times New Roman"/>
          <w:sz w:val="17"/>
          <w:szCs w:val="17"/>
          <w:b w:val="1"/>
          <w:bCs w:val="1"/>
          <w:color w:val="auto"/>
        </w:rPr>
        <w:t>Section 3.05</w:t>
      </w:r>
      <w:r>
        <w:rPr>
          <w:rFonts w:ascii="Times New Roman" w:cs="Times New Roman" w:eastAsia="Times New Roman" w:hAnsi="Times New Roman"/>
          <w:sz w:val="17"/>
          <w:szCs w:val="17"/>
          <w:color w:val="auto"/>
        </w:rPr>
        <w:t>) or Opinion of Counsel with respect to compliance with a covenant or condition provided for in this Indenture will include:</w:t>
      </w:r>
    </w:p>
    <w:p>
      <w:pPr>
        <w:spacing w:after="0" w:line="145" w:lineRule="exact"/>
        <w:rPr>
          <w:sz w:val="20"/>
          <w:szCs w:val="20"/>
          <w:color w:val="auto"/>
        </w:rPr>
      </w:pPr>
    </w:p>
    <w:p>
      <w:pPr>
        <w:ind w:left="1260" w:hanging="627"/>
        <w:spacing w:after="0"/>
        <w:tabs>
          <w:tab w:leader="none" w:pos="12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the signatory thereto has read such covenant or condition;</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statement as to the nature and scope of the examination or investigation upon which the statements or opinions contained therein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w:t>
      </w:r>
    </w:p>
    <w:p>
      <w:pPr>
        <w:spacing w:after="0" w:line="205" w:lineRule="exact"/>
        <w:rPr>
          <w:sz w:val="20"/>
          <w:szCs w:val="20"/>
          <w:color w:val="auto"/>
        </w:rPr>
      </w:pPr>
    </w:p>
    <w:p>
      <w:pPr>
        <w:ind w:firstLine="633"/>
        <w:spacing w:after="0" w:line="296" w:lineRule="auto"/>
        <w:tabs>
          <w:tab w:leader="none" w:pos="1256"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4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as to whether, in the opinion of such signatory, such covenant or condition has been satisfied.</w:t>
      </w:r>
    </w:p>
    <w:p>
      <w:pPr>
        <w:spacing w:after="0" w:line="22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12.04.</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ules by the</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b w:val="1"/>
          <w:bCs w:val="1"/>
          <w:color w:val="auto"/>
        </w:rPr>
        <w:t>, T</w:t>
      </w:r>
      <w:r>
        <w:rPr>
          <w:rFonts w:ascii="Times New Roman" w:cs="Times New Roman" w:eastAsia="Times New Roman" w:hAnsi="Times New Roman"/>
          <w:sz w:val="11"/>
          <w:szCs w:val="11"/>
          <w:b w:val="1"/>
          <w:bCs w:val="1"/>
          <w:color w:val="auto"/>
        </w:rPr>
        <w: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the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the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aying</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 and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Trustee and Collateral Agent may each make reasonable rules for action by or at a meeting of Holders. The Registrar, Paying Agent and Conversion Agent each may make reasonable rules and set reasonable requirements for its functions.</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12.05.</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ersonal</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iability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r>
        <w:rPr>
          <w:rFonts w:ascii="Times New Roman" w:cs="Times New Roman" w:eastAsia="Times New Roman" w:hAnsi="Times New Roman"/>
          <w:sz w:val="17"/>
          <w:szCs w:val="17"/>
          <w:b w:val="1"/>
          <w:bCs w:val="1"/>
          <w:color w:val="auto"/>
        </w:rPr>
        <w:t>, O</w:t>
      </w:r>
      <w:r>
        <w:rPr>
          <w:rFonts w:ascii="Times New Roman" w:cs="Times New Roman" w:eastAsia="Times New Roman" w:hAnsi="Times New Roman"/>
          <w:sz w:val="11"/>
          <w:szCs w:val="11"/>
          <w:b w:val="1"/>
          <w:bCs w:val="1"/>
          <w:color w:val="auto"/>
        </w:rPr>
        <w:t>fficers</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1"/>
          <w:szCs w:val="11"/>
          <w:b w:val="1"/>
          <w:bCs w:val="1"/>
          <w:color w:val="auto"/>
        </w:rPr>
        <w:t>mployees and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12.06.</w:t>
      </w:r>
      <w:r>
        <w:rPr>
          <w:sz w:val="20"/>
          <w:szCs w:val="20"/>
          <w:color w:val="auto"/>
        </w:rPr>
        <w:tab/>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1"/>
          <w:szCs w:val="11"/>
          <w:b w:val="1"/>
          <w:bCs w:val="1"/>
          <w:color w:val="auto"/>
        </w:rPr>
        <w:t>overning</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aw</w:t>
      </w:r>
      <w:r>
        <w:rPr>
          <w:rFonts w:ascii="Times New Roman" w:cs="Times New Roman" w:eastAsia="Times New Roman" w:hAnsi="Times New Roman"/>
          <w:sz w:val="17"/>
          <w:szCs w:val="17"/>
          <w:b w:val="1"/>
          <w:bCs w:val="1"/>
          <w:color w:val="auto"/>
        </w:rPr>
        <w:t>; W</w:t>
      </w:r>
      <w:r>
        <w:rPr>
          <w:rFonts w:ascii="Times New Roman" w:cs="Times New Roman" w:eastAsia="Times New Roman" w:hAnsi="Times New Roman"/>
          <w:sz w:val="11"/>
          <w:szCs w:val="11"/>
          <w:b w:val="1"/>
          <w:bCs w:val="1"/>
          <w:color w:val="auto"/>
        </w:rPr>
        <w:t>aiver of</w:t>
      </w:r>
      <w:r>
        <w:rPr>
          <w:rFonts w:ascii="Times New Roman" w:cs="Times New Roman" w:eastAsia="Times New Roman" w:hAnsi="Times New Roman"/>
          <w:sz w:val="17"/>
          <w:szCs w:val="17"/>
          <w:b w:val="1"/>
          <w:bCs w:val="1"/>
          <w:color w:val="auto"/>
        </w:rPr>
        <w:t xml:space="preserve"> J</w:t>
      </w:r>
      <w:r>
        <w:rPr>
          <w:rFonts w:ascii="Times New Roman" w:cs="Times New Roman" w:eastAsia="Times New Roman" w:hAnsi="Times New Roman"/>
          <w:sz w:val="11"/>
          <w:szCs w:val="11"/>
          <w:b w:val="1"/>
          <w:bCs w:val="1"/>
          <w:color w:val="auto"/>
        </w:rPr>
        <w:t>ury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2" w:name="page143"/>
    <w:bookmarkEnd w:id="142"/>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12.07.</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ubmission to</w:t>
      </w:r>
      <w:r>
        <w:rPr>
          <w:rFonts w:ascii="Times New Roman" w:cs="Times New Roman" w:eastAsia="Times New Roman" w:hAnsi="Times New Roman"/>
          <w:sz w:val="17"/>
          <w:szCs w:val="17"/>
          <w:b w:val="1"/>
          <w:bCs w:val="1"/>
          <w:color w:val="auto"/>
        </w:rPr>
        <w:t xml:space="preserve"> J</w:t>
      </w:r>
      <w:r>
        <w:rPr>
          <w:rFonts w:ascii="Times New Roman" w:cs="Times New Roman" w:eastAsia="Times New Roman" w:hAnsi="Times New Roman"/>
          <w:sz w:val="11"/>
          <w:szCs w:val="11"/>
          <w:b w:val="1"/>
          <w:bCs w:val="1"/>
          <w:color w:val="auto"/>
        </w:rPr>
        <w:t>urisdiction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7"/>
          <w:szCs w:val="17"/>
          <w:b w:val="1"/>
          <w:bCs w:val="1"/>
          <w:color w:val="auto"/>
        </w:rPr>
        <w:t>Specified Courts</w:t>
      </w:r>
      <w:r>
        <w:rPr>
          <w:rFonts w:ascii="Times New Roman" w:cs="Times New Roman" w:eastAsia="Times New Roman" w:hAnsi="Times New Roman"/>
          <w:sz w:val="17"/>
          <w:szCs w:val="17"/>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7"/>
          <w:szCs w:val="17"/>
          <w:b w:val="1"/>
          <w:bCs w:val="1"/>
          <w:color w:val="auto"/>
        </w:rPr>
        <w:t>Section 12.01</w:t>
      </w:r>
      <w:r>
        <w:rPr>
          <w:rFonts w:ascii="Times New Roman" w:cs="Times New Roman" w:eastAsia="Times New Roman" w:hAnsi="Times New Roman"/>
          <w:sz w:val="17"/>
          <w:szCs w:val="17"/>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7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12.08.</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dverse</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nterpretation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ther</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12.09.</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uccessors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All agreements of the Company in this Indenture and the Notes will bind its successors. All agreements of the Trustee and the Collateral Agent in this Indenture will bind its successors.</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12.10.</w:t>
      </w:r>
      <w:r>
        <w:rPr>
          <w:sz w:val="20"/>
          <w:szCs w:val="20"/>
          <w:color w:val="auto"/>
        </w:rPr>
        <w:tab/>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orce</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ajeure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12.11.</w:t>
      </w:r>
      <w:r>
        <w:rPr>
          <w:sz w:val="20"/>
          <w:szCs w:val="20"/>
          <w:color w:val="auto"/>
        </w:rPr>
        <w:tab/>
      </w:r>
      <w:r>
        <w:rPr>
          <w:rFonts w:ascii="Times New Roman" w:cs="Times New Roman" w:eastAsia="Times New Roman" w:hAnsi="Times New Roman"/>
          <w:sz w:val="17"/>
          <w:szCs w:val="17"/>
          <w:b w:val="1"/>
          <w:bCs w:val="1"/>
          <w:color w:val="auto"/>
        </w:rPr>
        <w:t>U.S.A. PATRIOT A</w:t>
      </w:r>
      <w:r>
        <w:rPr>
          <w:rFonts w:ascii="Times New Roman" w:cs="Times New Roman" w:eastAsia="Times New Roman" w:hAnsi="Times New Roman"/>
          <w:sz w:val="11"/>
          <w:szCs w:val="11"/>
          <w:b w:val="1"/>
          <w:bCs w:val="1"/>
          <w:color w:val="auto"/>
        </w:rPr>
        <w:t>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12.12.</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alculations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3" w:lineRule="auto"/>
        <w:rPr>
          <w:sz w:val="20"/>
          <w:szCs w:val="20"/>
          <w:color w:val="auto"/>
        </w:rPr>
      </w:pPr>
      <w:r>
        <w:rPr>
          <w:rFonts w:ascii="Times New Roman" w:cs="Times New Roman" w:eastAsia="Times New Roman" w:hAnsi="Times New Roman"/>
          <w:sz w:val="17"/>
          <w:szCs w:val="17"/>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accrued interest on the Notes including any Additional Interest, the Redemption Price, the Fundamental Change Repurchase Price and the Conversion Rate.</w:t>
      </w:r>
    </w:p>
    <w:p>
      <w:pPr>
        <w:spacing w:after="0" w:line="380"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The Trustee will not be responsible for verifying such calculations.</w:t>
      </w:r>
    </w:p>
    <w:p>
      <w:pPr>
        <w:spacing w:after="0" w:line="16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12.13.</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everability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3" w:name="page144"/>
    <w:bookmarkEnd w:id="143"/>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12.14.</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ounterparts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12.15.</w:t>
      </w:r>
      <w:r>
        <w:rPr>
          <w:sz w:val="20"/>
          <w:szCs w:val="20"/>
          <w:color w:val="auto"/>
        </w:rPr>
        <w:tab/>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r>
        <w:rPr>
          <w:rFonts w:ascii="Times New Roman" w:cs="Times New Roman" w:eastAsia="Times New Roman" w:hAnsi="Times New Roman"/>
          <w:sz w:val="17"/>
          <w:szCs w:val="17"/>
          <w:b w:val="1"/>
          <w:bCs w:val="1"/>
          <w:color w:val="auto"/>
        </w:rPr>
        <w:t>, H</w:t>
      </w:r>
      <w:r>
        <w:rPr>
          <w:rFonts w:ascii="Times New Roman" w:cs="Times New Roman" w:eastAsia="Times New Roman" w:hAnsi="Times New Roman"/>
          <w:sz w:val="11"/>
          <w:szCs w:val="11"/>
          <w:b w:val="1"/>
          <w:bCs w:val="1"/>
          <w:color w:val="auto"/>
        </w:rPr>
        <w:t>eadings</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1"/>
          <w:szCs w:val="11"/>
          <w:b w:val="1"/>
          <w:bCs w:val="1"/>
          <w:color w:val="auto"/>
        </w:rPr>
        <w:t>tc</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12.16.</w:t>
      </w:r>
      <w:r>
        <w:rPr>
          <w:sz w:val="20"/>
          <w:szCs w:val="20"/>
          <w:color w:val="auto"/>
        </w:rPr>
        <w:tab/>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ithholding</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AND COLLATERAL</w:t>
      </w:r>
    </w:p>
    <w:p>
      <w:pPr>
        <w:spacing w:after="0" w:line="22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13.01.</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ocuments</w:t>
      </w:r>
      <w:r>
        <w:rPr>
          <w:rFonts w:ascii="Times New Roman" w:cs="Times New Roman" w:eastAsia="Times New Roman" w:hAnsi="Times New Roman"/>
          <w:sz w:val="17"/>
          <w:szCs w:val="17"/>
          <w:b w:val="1"/>
          <w:bCs w:val="1"/>
          <w:i w:val="1"/>
          <w:iCs w:val="1"/>
          <w:color w:val="auto"/>
        </w:rPr>
        <w:t>.</w:t>
      </w:r>
    </w:p>
    <w:p>
      <w:pPr>
        <w:spacing w:after="0" w:line="227" w:lineRule="exact"/>
        <w:rPr>
          <w:sz w:val="20"/>
          <w:szCs w:val="20"/>
          <w:color w:val="auto"/>
        </w:rPr>
      </w:pPr>
    </w:p>
    <w:p>
      <w:pPr>
        <w:jc w:val="both"/>
        <w:ind w:firstLine="628"/>
        <w:spacing w:after="0" w:line="258" w:lineRule="auto"/>
        <w:rPr>
          <w:sz w:val="20"/>
          <w:szCs w:val="20"/>
          <w:color w:val="auto"/>
        </w:rPr>
      </w:pPr>
      <w:r>
        <w:rPr>
          <w:rFonts w:ascii="Times New Roman" w:cs="Times New Roman" w:eastAsia="Times New Roman" w:hAnsi="Times New Roman"/>
          <w:sz w:val="17"/>
          <w:szCs w:val="17"/>
          <w:color w:val="auto"/>
        </w:rPr>
        <w:t xml:space="preserve">The due and punctual payment of the principal of, and cash interest (if any) on the Notes when and as the same shall be due and payable, whether on an Interest Payment Date, at maturity, by repurchase or otherwise, and performance of all other obligations of the Company and the Guarantors under this Indenture, shall be secured as provided in the Collateral Documents, which define the terms of the liens that secure such obligations. The Trustee, the Guarantors and the Company hereby acknowledge and agree that the Collateral Agent’s security interest in the Collateral is for the benefit of the Holders, the Trustee and the Collateral Agent and pursuant to the terms of the Collateral Documents. Each Holder, by accepting a Note, consents and agrees to the terms of the Collateral Documents (including the provisions providing for the possession, use, release and foreclosure of Collateral), as the same may be in effect or may be amended from time to time in accordance with their terms and this Indenture, and irrevocably authorizes and directs the Collateral Agent (i) to enter into the Collateral Documents, binding the Holders to the terms thereof, (ii) to execute each document in connection with any Collateral Document expressed to be executed by Collateral Agent on its behalf and (iii) perform the duties and exercise the rights, powers, and discretions that are specifically given to it under the Collateral Documents or other documents to which the Collateral Agent is a party, together with any other incidental rights, power and discretions. Neither the Trustee nor the Collateral Agent nor any of their respective officers, directors, employees, attorneys or agents will be responsible or liable for the existence, genuineness, value or protection of any Collateral, for the legality, enforceability, effectiveness, or sufficiency of the Collateral Documents, for the creation, perfection, priority, sufficiency or protection of any lien, including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Collateral Documents or any delay in doing so. The Company shall deliver to the Collateral Agent and the Trustee copies of all documents required to be filed pursuant to the Collateral Documents, and will do or cause to be done all such acts and things as may be required by the next sentence of this </w:t>
      </w:r>
      <w:r>
        <w:rPr>
          <w:rFonts w:ascii="Times New Roman" w:cs="Times New Roman" w:eastAsia="Times New Roman" w:hAnsi="Times New Roman"/>
          <w:sz w:val="17"/>
          <w:szCs w:val="17"/>
          <w:b w:val="1"/>
          <w:bCs w:val="1"/>
          <w:color w:val="auto"/>
        </w:rPr>
        <w:t>Section 13.01</w:t>
      </w:r>
      <w:r>
        <w:rPr>
          <w:rFonts w:ascii="Times New Roman" w:cs="Times New Roman" w:eastAsia="Times New Roman" w:hAnsi="Times New Roman"/>
          <w:sz w:val="17"/>
          <w:szCs w:val="17"/>
          <w:color w:val="auto"/>
        </w:rPr>
        <w:t>, to assure and confirm to the Collateral Agent for the benefit of the Holders the security interest in the Collateral contemplated hereby, by the Collateral Documents or any part thereof, as from time to time constituted, so as to render the same available for the security and benefit of this Indenture and of the Notes secured hereby, according to the intent and purposes herein expressed. The Company and the Guarantors shall take any and all actions and make all filings (including the filing of UCC financing statements, continuation statements and amendments thereto) required to cause the Collateral Documents to create and maintain, as security for its obligations in favor of the Collateral Agent for the benefit of the Holders and the Trustee, a valid and enforceable perfected lien and security interest in and on all of the Collateral, in each case to the extent such perfection actions are required under and subject to the terms and conditions of the Collateral Documents. Neither the Trustee nor the Collateral Agent shall have any responsibility or liability in connection with such actions and filings; provided that nothing in this sentence shall be construed to relieve the Trustee or the Collateral Agent from liability for its own grossly negligent action, its own grossly negligent failure to act or its own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4" w:name="page145"/>
    <w:bookmarkEnd w:id="144"/>
    <w:p>
      <w:pPr>
        <w:ind w:left="6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13.02.</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elease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ollateral</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left="-20" w:firstLine="633"/>
        <w:spacing w:after="0" w:line="270" w:lineRule="auto"/>
        <w:tabs>
          <w:tab w:leader="none" w:pos="1236"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clauses (B) and (C) below, the liens on the Collateral will be automatically released with respect to the Notes and the Guarantees without further action by the Collateral Agent, the Trustee, or the Required Holders or any other Holder, and the Trustee and/or the Collateral Agent (subject to its receipt of an Officer’s Certificate and Opinion of Counsel) shall execute documents evidencing such release reasonably requested by the Company, at the Company’s sole cost and expense, under one or more of the following circumstances:</w:t>
      </w:r>
    </w:p>
    <w:p>
      <w:pPr>
        <w:spacing w:after="0" w:line="167"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upon:</w:t>
      </w:r>
    </w:p>
    <w:p>
      <w:pPr>
        <w:spacing w:after="0" w:line="223" w:lineRule="exact"/>
        <w:rPr>
          <w:rFonts w:ascii="Times New Roman" w:cs="Times New Roman" w:eastAsia="Times New Roman" w:hAnsi="Times New Roman"/>
          <w:sz w:val="17"/>
          <w:szCs w:val="17"/>
          <w:color w:val="auto"/>
        </w:rPr>
      </w:pPr>
    </w:p>
    <w:p>
      <w:pPr>
        <w:ind w:left="620" w:firstLine="1249"/>
        <w:spacing w:after="0" w:line="296" w:lineRule="auto"/>
        <w:tabs>
          <w:tab w:leader="none" w:pos="2504" w:val="left"/>
        </w:tabs>
        <w:numPr>
          <w:ilvl w:val="2"/>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in full of the principal of, together with accrued and unpaid interest on, the Notes and all other Note Obligations (other than contingent indemnities and cost and reimbursement obligations, in each case, to the extent no claim has been made);</w:t>
      </w:r>
    </w:p>
    <w:p>
      <w:pPr>
        <w:spacing w:after="0" w:line="145" w:lineRule="exact"/>
        <w:rPr>
          <w:rFonts w:ascii="Times New Roman" w:cs="Times New Roman" w:eastAsia="Times New Roman" w:hAnsi="Times New Roman"/>
          <w:sz w:val="17"/>
          <w:szCs w:val="17"/>
          <w:color w:val="auto"/>
        </w:rPr>
      </w:pPr>
    </w:p>
    <w:p>
      <w:pPr>
        <w:ind w:left="2500" w:hanging="631"/>
        <w:spacing w:after="0"/>
        <w:tabs>
          <w:tab w:leader="none" w:pos="2500" w:val="left"/>
        </w:tabs>
        <w:numPr>
          <w:ilvl w:val="2"/>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satisfaction and discharge of this Indenture or following the completion of a discharge, in each case, as set forth under</w:t>
      </w:r>
    </w:p>
    <w:p>
      <w:pPr>
        <w:spacing w:after="0" w:line="3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9 hereof;</w:t>
      </w:r>
    </w:p>
    <w:p>
      <w:pPr>
        <w:spacing w:after="0" w:line="205" w:lineRule="exact"/>
        <w:rPr>
          <w:rFonts w:ascii="Times New Roman" w:cs="Times New Roman" w:eastAsia="Times New Roman" w:hAnsi="Times New Roman"/>
          <w:sz w:val="17"/>
          <w:szCs w:val="17"/>
          <w:color w:val="auto"/>
        </w:rPr>
      </w:pPr>
    </w:p>
    <w:p>
      <w:pPr>
        <w:ind w:left="2500" w:hanging="631"/>
        <w:spacing w:after="0"/>
        <w:tabs>
          <w:tab w:leader="none" w:pos="2500" w:val="left"/>
        </w:tabs>
        <w:numPr>
          <w:ilvl w:val="2"/>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in full of all outstanding Notes into equity; or</w:t>
      </w:r>
    </w:p>
    <w:p>
      <w:pPr>
        <w:spacing w:after="0" w:line="223" w:lineRule="exact"/>
        <w:rPr>
          <w:rFonts w:ascii="Times New Roman" w:cs="Times New Roman" w:eastAsia="Times New Roman" w:hAnsi="Times New Roman"/>
          <w:sz w:val="17"/>
          <w:szCs w:val="17"/>
          <w:color w:val="auto"/>
        </w:rPr>
      </w:pPr>
    </w:p>
    <w:p>
      <w:pPr>
        <w:ind w:left="2500" w:hanging="631"/>
        <w:spacing w:after="0"/>
        <w:tabs>
          <w:tab w:leader="none" w:pos="2500" w:val="left"/>
        </w:tabs>
        <w:numPr>
          <w:ilvl w:val="2"/>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exercising its Legal Defeasance or Covenant Defeasance options as provided for under Section 14.02 hereof;</w:t>
      </w:r>
    </w:p>
    <w:p>
      <w:pPr>
        <w:spacing w:after="0" w:line="223"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876"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part, as to any property that (a) is sold, transferred or otherwise disposed of by the Company or a Guarantor (other than to the Company or a Guarantor) in a transaction permitted under Section 3.12 or otherwise permitted by this Indenture and the other Note Documents or (b) is owned or at any time acquired by a Guarantor that has been released from its Guarantee in accordance with the terms of this Indenture, concurrently with the release of such Guarantee;</w:t>
      </w:r>
    </w:p>
    <w:p>
      <w:pPr>
        <w:spacing w:after="0" w:line="167"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part, with the consent of Required Holders and each affected holder, as applicable and in accordance with Section 8.02 of this Indenture, including consents obtained in connection with a tender offer or exchange offer for, or purchase of, the Notes;</w:t>
      </w:r>
    </w:p>
    <w:p>
      <w:pPr>
        <w:spacing w:after="0" w:line="145"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part, as to property that becomes Excluded Assets (as defined in the Security Agreement); and</w:t>
      </w:r>
    </w:p>
    <w:p>
      <w:pPr>
        <w:spacing w:after="0" w:line="223" w:lineRule="exact"/>
        <w:rPr>
          <w:rFonts w:ascii="Times New Roman" w:cs="Times New Roman" w:eastAsia="Times New Roman" w:hAnsi="Times New Roman"/>
          <w:sz w:val="17"/>
          <w:szCs w:val="17"/>
          <w:color w:val="auto"/>
        </w:rPr>
      </w:pPr>
    </w:p>
    <w:p>
      <w:pPr>
        <w:ind w:left="620" w:firstLine="621"/>
        <w:spacing w:after="0" w:line="296" w:lineRule="auto"/>
        <w:tabs>
          <w:tab w:leader="none" w:pos="1876"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part, that is otherwise released in accordance with the applicable provisions of the Collateral Documents, but subject to any restrictions thereon set forth in this Indenture.</w:t>
      </w:r>
    </w:p>
    <w:p>
      <w:pPr>
        <w:spacing w:after="0" w:line="145" w:lineRule="exact"/>
        <w:rPr>
          <w:rFonts w:ascii="Times New Roman" w:cs="Times New Roman" w:eastAsia="Times New Roman" w:hAnsi="Times New Roman"/>
          <w:sz w:val="17"/>
          <w:szCs w:val="17"/>
          <w:color w:val="auto"/>
        </w:rPr>
      </w:pPr>
    </w:p>
    <w:p>
      <w:pPr>
        <w:jc w:val="both"/>
        <w:ind w:left="-20" w:firstLine="633"/>
        <w:spacing w:after="0" w:line="261" w:lineRule="auto"/>
        <w:tabs>
          <w:tab w:leader="none" w:pos="1236"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release of Collateral, upon receipt of an Officer’s Certificate and Opinion of Counsel each stating that all conditions precedent under this Indenture and the Collateral Documents, if any, to such release have been complied with and that it is proper for the Trustee or the Collateral Agent, as applicable, to execute and deliver the documents requested by the Company and the Guarantors in connection with such release, and any instruments of termination, satisfaction or release prepared by the Company, the Trustee or the Collateral Agent, as applicable, shall execute, deliver or acknowledge (at the Company’s sole expense) such instruments or releases to evidence the release of any Collateral permitted to be released pursuant to this Indenture or the Collateral Documents, without recourse, representation or warranty by the Trustee or the Collateral Agent. Neither the Trustee nor the Collateral Agent shall be liable for any such release undertaken in reliance upon any such Officer’s Certificate and Opinion of Counsel, and notwithstanding any term hereof or in any Collateral Document to the contrary, the Trustee and Collateral Agent shall not be under any obligation to release any such Lien and security interest, or execute and deliver any such instrument of release, satisfaction or termination, unless and until it receives such Officer’s Certificate and Opinion of Counsel.</w:t>
      </w:r>
    </w:p>
    <w:p>
      <w:pPr>
        <w:spacing w:after="0" w:line="389" w:lineRule="exact"/>
        <w:rPr>
          <w:rFonts w:ascii="Times New Roman" w:cs="Times New Roman" w:eastAsia="Times New Roman" w:hAnsi="Times New Roman"/>
          <w:sz w:val="17"/>
          <w:szCs w:val="17"/>
          <w:color w:val="auto"/>
        </w:rPr>
      </w:pPr>
    </w:p>
    <w:p>
      <w:pPr>
        <w:jc w:val="both"/>
        <w:ind w:left="-20" w:firstLine="633"/>
        <w:spacing w:after="0" w:line="276" w:lineRule="auto"/>
        <w:tabs>
          <w:tab w:leader="none" w:pos="1236"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when a Default or Event of Default has occurred and is continuing and the maturity of the Notes has been accelerated (whether by declaration or otherwise), no release of Collateral pursuant to the provisions of this Indenture or the Collateral Documents shall be effective as against the Holders, except as otherwise provided in the Collateral Documents.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b w:val="1"/>
          <w:bCs w:val="1"/>
          <w:color w:val="auto"/>
        </w:rPr>
        <w:t>ARTICLE 14.</w:t>
      </w:r>
    </w:p>
    <w:p>
      <w:pPr>
        <w:spacing w:after="0" w:line="22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LEGAL DEFEASANCE AND COVENANT DEFEASANCE</w:t>
      </w:r>
    </w:p>
    <w:p>
      <w:pPr>
        <w:spacing w:after="0" w:line="22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14.01.</w:t>
      </w:r>
      <w:r>
        <w:rPr>
          <w:sz w:val="20"/>
          <w:szCs w:val="20"/>
          <w:color w:val="auto"/>
        </w:rPr>
        <w:tab/>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1"/>
          <w:szCs w:val="11"/>
          <w:b w:val="1"/>
          <w:bCs w:val="1"/>
          <w:color w:val="auto"/>
        </w:rPr>
        <w:t>ption to</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ffect</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egal</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efeasance or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ovenant</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efeasance</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Company may at any time, at the option of its Board of Directors evidenced by a resolution set forth in an Officer’s Certificate, elect to have either Section 14.02 or 14.03 hereof be applied to all outstanding Notes upon compliance with the conditions set forth below in this Article 14.</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14.02.</w:t>
      </w:r>
      <w:r>
        <w:rPr>
          <w:sz w:val="20"/>
          <w:szCs w:val="20"/>
          <w:color w:val="auto"/>
        </w:rPr>
        <w:tab/>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egal</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efeasance and</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ischarge</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Upon the Company’s exercise under Section 14.01 hereof of the option applicable to this Section 14.02, the Company and each of the Guarantors will, subject to the satisfaction of the conditions set forth in Section 14.04 hereof, be deemed to have been discharged from their obligations with respect to all outstanding Notes (including the Note Guarantees) on the date the conditions set forth below are satisfied (hereinafter, “</w:t>
      </w:r>
      <w:r>
        <w:rPr>
          <w:rFonts w:ascii="Times New Roman" w:cs="Times New Roman" w:eastAsia="Times New Roman" w:hAnsi="Times New Roman"/>
          <w:sz w:val="17"/>
          <w:szCs w:val="17"/>
          <w:b w:val="1"/>
          <w:bCs w:val="1"/>
          <w:color w:val="auto"/>
        </w:rPr>
        <w:t>Legal Defeasance</w:t>
      </w:r>
      <w:r>
        <w:rPr>
          <w:rFonts w:ascii="Times New Roman" w:cs="Times New Roman" w:eastAsia="Times New Roman" w:hAnsi="Times New Roman"/>
          <w:sz w:val="17"/>
          <w:szCs w:val="17"/>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14.05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77" w:lineRule="exact"/>
        <w:rPr>
          <w:sz w:val="20"/>
          <w:szCs w:val="20"/>
          <w:color w:val="auto"/>
        </w:rPr>
      </w:pPr>
    </w:p>
    <w:p>
      <w:pPr>
        <w:ind w:left="640" w:firstLine="621"/>
        <w:spacing w:after="0" w:line="296" w:lineRule="auto"/>
        <w:tabs>
          <w:tab w:leader="none" w:pos="1896"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Holders of outstanding Notes to receive payments in respect of the principal of, premium on, if any, or interest, if any, on such Notes when such payments are due from the trust referred to in Section 14.04 hereof;</w:t>
      </w:r>
    </w:p>
    <w:p>
      <w:pPr>
        <w:spacing w:after="0" w:line="14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obligations with respect to such Notes under Article 2 hereof;</w:t>
      </w:r>
    </w:p>
    <w:p>
      <w:pPr>
        <w:spacing w:after="0" w:line="223" w:lineRule="exact"/>
        <w:rPr>
          <w:rFonts w:ascii="Times New Roman" w:cs="Times New Roman" w:eastAsia="Times New Roman" w:hAnsi="Times New Roman"/>
          <w:sz w:val="17"/>
          <w:szCs w:val="17"/>
          <w:color w:val="auto"/>
        </w:rPr>
      </w:pPr>
    </w:p>
    <w:p>
      <w:pPr>
        <w:ind w:left="640" w:firstLine="621"/>
        <w:spacing w:after="0" w:line="296" w:lineRule="auto"/>
        <w:tabs>
          <w:tab w:leader="none" w:pos="1896"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powers, trusts, duties and immunities of the Trustee and the Collateral Agent hereunder and the Company’s and the Guarantors’ obligations in connection therewith; and</w:t>
      </w:r>
    </w:p>
    <w:p>
      <w:pPr>
        <w:spacing w:after="0" w:line="145" w:lineRule="exact"/>
        <w:rPr>
          <w:rFonts w:ascii="Times New Roman" w:cs="Times New Roman" w:eastAsia="Times New Roman" w:hAnsi="Times New Roman"/>
          <w:sz w:val="17"/>
          <w:szCs w:val="17"/>
          <w:color w:val="auto"/>
        </w:rPr>
      </w:pPr>
    </w:p>
    <w:p>
      <w:pPr>
        <w:ind w:left="1880" w:hanging="619"/>
        <w:spacing w:after="0"/>
        <w:tabs>
          <w:tab w:leader="none" w:pos="18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Article 14.</w:t>
      </w:r>
    </w:p>
    <w:p>
      <w:pPr>
        <w:spacing w:after="0" w:line="223"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Subject to compliance with this Article 14, the Company may exercise its option under this Section 14.02 notwithstanding the prior exercise of its option under Section 14.03 hereof.</w:t>
      </w:r>
    </w:p>
    <w:p>
      <w:pPr>
        <w:spacing w:after="0" w:line="14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14.03.</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ovenant</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efeasance</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60" w:lineRule="auto"/>
        <w:rPr>
          <w:sz w:val="20"/>
          <w:szCs w:val="20"/>
          <w:color w:val="auto"/>
        </w:rPr>
      </w:pPr>
      <w:r>
        <w:rPr>
          <w:rFonts w:ascii="Times New Roman" w:cs="Times New Roman" w:eastAsia="Times New Roman" w:hAnsi="Times New Roman"/>
          <w:sz w:val="17"/>
          <w:szCs w:val="17"/>
          <w:color w:val="auto"/>
        </w:rPr>
        <w:t>Upon the Company’s exercise under Section 14.01 hereof of the option applicable to this Section 14.03, the Company and each of the Guarantors will, subject to the satisfaction of the conditions set forth in Section 14.04 hereof, be released from each of their obligations under the covenants contained in Sections 3.08, 3.09, 3.11, 3.12, 3.13, 3.15, 3.16 and 3.26 hereof with respect to the outstanding Notes on and after the date the conditions set forth in Section 14.04 hereof are satisfied (hereinafter, “</w:t>
      </w:r>
      <w:r>
        <w:rPr>
          <w:rFonts w:ascii="Times New Roman" w:cs="Times New Roman" w:eastAsia="Times New Roman" w:hAnsi="Times New Roman"/>
          <w:sz w:val="17"/>
          <w:szCs w:val="17"/>
          <w:b w:val="1"/>
          <w:bCs w:val="1"/>
          <w:color w:val="auto"/>
        </w:rPr>
        <w:t>Covenant Defeasance</w:t>
      </w:r>
      <w:r>
        <w:rPr>
          <w:rFonts w:ascii="Times New Roman" w:cs="Times New Roman" w:eastAsia="Times New Roman" w:hAnsi="Times New Roman"/>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7.01 hereof, but, except as specified above, the remainder of this Indenture and such Notes and Note Guarantees will be unaffected thereby. In addition, upon the Company’s exercise under Section 14.01 hereof of the option applicable to this Section 14.03, subject to the satisfaction of the conditions set forth in Section 14.04 hereof, Sections 7.01(A)(v), (vi), (vii), and (viii) hereof will not constitute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6" w:name="page147"/>
    <w:bookmarkEnd w:id="146"/>
    <w:p>
      <w:pPr>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14.04.</w:t>
      </w:r>
      <w:r>
        <w:rPr>
          <w:sz w:val="20"/>
          <w:szCs w:val="20"/>
          <w:color w:val="auto"/>
        </w:rPr>
        <w:tab/>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onditions to</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egal or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ovenant</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efeasance</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order to exercise either Legal Defeasance or Covenant Defeasance under either Section 14.02 or 14.03 hereof:</w:t>
      </w:r>
    </w:p>
    <w:p>
      <w:pPr>
        <w:spacing w:after="0" w:line="223" w:lineRule="exact"/>
        <w:rPr>
          <w:sz w:val="20"/>
          <w:szCs w:val="20"/>
          <w:color w:val="auto"/>
        </w:rPr>
      </w:pPr>
    </w:p>
    <w:p>
      <w:pPr>
        <w:jc w:val="both"/>
        <w:ind w:firstLine="621"/>
        <w:spacing w:after="0" w:line="266" w:lineRule="auto"/>
        <w:tabs>
          <w:tab w:leader="none" w:pos="1256"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on and interest,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72" w:lineRule="exact"/>
        <w:rPr>
          <w:rFonts w:ascii="Times New Roman" w:cs="Times New Roman" w:eastAsia="Times New Roman" w:hAnsi="Times New Roman"/>
          <w:sz w:val="17"/>
          <w:szCs w:val="17"/>
          <w:color w:val="auto"/>
        </w:rPr>
      </w:pPr>
    </w:p>
    <w:p>
      <w:pPr>
        <w:ind w:firstLine="621"/>
        <w:spacing w:after="0" w:line="296" w:lineRule="auto"/>
        <w:tabs>
          <w:tab w:leader="none" w:pos="1256"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election under Section 14.02 hereof, the Company must deliver to the Trustee an Opinion of Counsel reasonably acceptable to the Trustee confirming that:</w:t>
      </w:r>
    </w:p>
    <w:p>
      <w:pPr>
        <w:spacing w:after="0" w:line="145"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received from, or there has been published by, the internal revenue service a ruling; or</w:t>
      </w:r>
    </w:p>
    <w:p>
      <w:pPr>
        <w:spacing w:after="0" w:line="22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this Indenture, there has been a change in the applicable U.S. federal income tax law,</w:t>
      </w:r>
    </w:p>
    <w:p>
      <w:pPr>
        <w:spacing w:after="0" w:line="2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either case to the effect that, and based thereon such Opinion of Counsel shall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63" w:lineRule="exact"/>
        <w:rPr>
          <w:sz w:val="20"/>
          <w:szCs w:val="20"/>
          <w:color w:val="auto"/>
        </w:rPr>
      </w:pPr>
    </w:p>
    <w:p>
      <w:pPr>
        <w:jc w:val="both"/>
        <w:ind w:firstLine="621"/>
        <w:spacing w:after="0" w:line="270" w:lineRule="auto"/>
        <w:tabs>
          <w:tab w:leader="none" w:pos="125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election under Section 14.03 hereof, the Company must deliver to the Trustee an Opinion of Counsel reasonably acceptable to the Trustee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67" w:lineRule="exact"/>
        <w:rPr>
          <w:rFonts w:ascii="Times New Roman" w:cs="Times New Roman" w:eastAsia="Times New Roman" w:hAnsi="Times New Roman"/>
          <w:sz w:val="17"/>
          <w:szCs w:val="17"/>
          <w:color w:val="auto"/>
        </w:rPr>
      </w:pPr>
    </w:p>
    <w:p>
      <w:pPr>
        <w:jc w:val="both"/>
        <w:ind w:firstLine="621"/>
        <w:spacing w:after="0" w:line="276" w:lineRule="auto"/>
        <w:tabs>
          <w:tab w:leader="none" w:pos="125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62" w:lineRule="exact"/>
        <w:rPr>
          <w:rFonts w:ascii="Times New Roman" w:cs="Times New Roman" w:eastAsia="Times New Roman" w:hAnsi="Times New Roman"/>
          <w:sz w:val="17"/>
          <w:szCs w:val="17"/>
          <w:color w:val="auto"/>
        </w:rPr>
      </w:pPr>
    </w:p>
    <w:p>
      <w:pPr>
        <w:jc w:val="both"/>
        <w:ind w:firstLine="621"/>
        <w:spacing w:after="0" w:line="276" w:lineRule="auto"/>
        <w:tabs>
          <w:tab w:leader="none" w:pos="125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the Guarantors is a party or by which the Company or any of the Guarantors is bound;</w:t>
      </w:r>
    </w:p>
    <w:p>
      <w:pPr>
        <w:spacing w:after="0" w:line="162" w:lineRule="exact"/>
        <w:rPr>
          <w:rFonts w:ascii="Times New Roman" w:cs="Times New Roman" w:eastAsia="Times New Roman" w:hAnsi="Times New Roman"/>
          <w:sz w:val="17"/>
          <w:szCs w:val="17"/>
          <w:color w:val="auto"/>
        </w:rPr>
      </w:pPr>
    </w:p>
    <w:p>
      <w:pPr>
        <w:jc w:val="both"/>
        <w:ind w:firstLine="621"/>
        <w:spacing w:after="0" w:line="276" w:lineRule="auto"/>
        <w:tabs>
          <w:tab w:leader="none" w:pos="125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62" w:lineRule="exact"/>
        <w:rPr>
          <w:rFonts w:ascii="Times New Roman" w:cs="Times New Roman" w:eastAsia="Times New Roman" w:hAnsi="Times New Roman"/>
          <w:sz w:val="17"/>
          <w:szCs w:val="17"/>
          <w:color w:val="auto"/>
        </w:rPr>
      </w:pPr>
    </w:p>
    <w:p>
      <w:pPr>
        <w:ind w:firstLine="621"/>
        <w:spacing w:after="0" w:line="296" w:lineRule="auto"/>
        <w:tabs>
          <w:tab w:leader="none" w:pos="125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must deliver to the Trustee an Officer’s Certificate and an Opinion of Counsel, each stating that all conditions precedent relating to the Legal Defeasance or the Covenant Defeasance have been complied with.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773" w:right="339" w:bottom="1440" w:gutter="0" w:footer="0" w:header="0"/>
        </w:sectPr>
      </w:pPr>
    </w:p>
    <w:bookmarkStart w:id="147" w:name="page148"/>
    <w:bookmarkEnd w:id="147"/>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14.05.</w:t>
      </w:r>
      <w:r>
        <w:rPr>
          <w:sz w:val="20"/>
          <w:szCs w:val="20"/>
          <w:color w:val="auto"/>
        </w:rPr>
        <w:tab/>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eposited</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oney and</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1"/>
          <w:szCs w:val="11"/>
          <w:b w:val="1"/>
          <w:bCs w:val="1"/>
          <w:color w:val="auto"/>
        </w:rPr>
        <w:t>overnment</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ecurities to be</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eld in</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rust</w:t>
      </w:r>
      <w:r>
        <w:rPr>
          <w:rFonts w:ascii="Times New Roman" w:cs="Times New Roman" w:eastAsia="Times New Roman" w:hAnsi="Times New Roman"/>
          <w:sz w:val="17"/>
          <w:szCs w:val="17"/>
          <w:b w:val="1"/>
          <w:bCs w:val="1"/>
          <w:color w:val="auto"/>
        </w:rPr>
        <w:t>; O</w:t>
      </w:r>
      <w:r>
        <w:rPr>
          <w:rFonts w:ascii="Times New Roman" w:cs="Times New Roman" w:eastAsia="Times New Roman" w:hAnsi="Times New Roman"/>
          <w:sz w:val="11"/>
          <w:szCs w:val="11"/>
          <w:b w:val="1"/>
          <w:bCs w:val="1"/>
          <w:color w:val="auto"/>
        </w:rPr>
        <w:t>ther</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iscellaneous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rovisions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66" w:lineRule="auto"/>
        <w:rPr>
          <w:sz w:val="20"/>
          <w:szCs w:val="20"/>
          <w:color w:val="auto"/>
        </w:rPr>
      </w:pPr>
      <w:r>
        <w:rPr>
          <w:rFonts w:ascii="Times New Roman" w:cs="Times New Roman" w:eastAsia="Times New Roman" w:hAnsi="Times New Roman"/>
          <w:sz w:val="17"/>
          <w:szCs w:val="17"/>
          <w:color w:val="auto"/>
        </w:rPr>
        <w:t>Subject to Section 14.06 hereof, all money and non-callable government securities (including the proceeds thereof) deposited with the Trustee (or other qualifying trustee, collectively for purposes of this Section 14.05, the “</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 pursuant to Section 14.04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if any, but such money need not be segregated from other funds except to the extent required by law.</w:t>
      </w:r>
    </w:p>
    <w:p>
      <w:pPr>
        <w:spacing w:after="0" w:line="173"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The Company will pay and indemnify the Trustee against any tax, fee or other charge imposed on or assessed against the cash or non-callable government securities deposited pursuant to Section 14.04 hereof or the principal and interest received in respect thereof other than any such tax, fee or other charge which by law is for the account of the Holders of the outstanding Notes.</w:t>
      </w:r>
    </w:p>
    <w:p>
      <w:pPr>
        <w:spacing w:after="0" w:line="163" w:lineRule="exact"/>
        <w:rPr>
          <w:sz w:val="20"/>
          <w:szCs w:val="20"/>
          <w:color w:val="auto"/>
        </w:rPr>
      </w:pPr>
    </w:p>
    <w:p>
      <w:pPr>
        <w:jc w:val="both"/>
        <w:ind w:firstLine="628"/>
        <w:spacing w:after="0" w:line="268" w:lineRule="auto"/>
        <w:rPr>
          <w:sz w:val="20"/>
          <w:szCs w:val="20"/>
          <w:color w:val="auto"/>
        </w:rPr>
      </w:pPr>
      <w:r>
        <w:rPr>
          <w:rFonts w:ascii="Times New Roman" w:cs="Times New Roman" w:eastAsia="Times New Roman" w:hAnsi="Times New Roman"/>
          <w:sz w:val="17"/>
          <w:szCs w:val="17"/>
          <w:color w:val="auto"/>
        </w:rPr>
        <w:t>Notwithstanding anything in this Article 14 to the contrary, the Trustee will deliver or pay to the Company from time to time upon the request of the Company any money or non-callable government securities held by it as provided in Section 14.04 hereof which, in the opinion of a nationally recognized firm of independent public accountants expressed in a written certification thereof delivered to the Trustee (which may be the opinion delivered under Section 14.04(i) hereof), are in excess of the amount thereof that would then be required to be deposited to effect an equivalent Legal Defeasance or Covenant Defeasance.</w:t>
      </w:r>
    </w:p>
    <w:p>
      <w:pPr>
        <w:spacing w:after="0" w:line="38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14.06.</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epayment to</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ompany</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62" w:lineRule="auto"/>
        <w:rPr>
          <w:sz w:val="20"/>
          <w:szCs w:val="20"/>
          <w:color w:val="auto"/>
        </w:rPr>
      </w:pPr>
      <w:r>
        <w:rPr>
          <w:rFonts w:ascii="Times New Roman" w:cs="Times New Roman" w:eastAsia="Times New Roman" w:hAnsi="Times New Roman"/>
          <w:sz w:val="17"/>
          <w:szCs w:val="17"/>
          <w:color w:val="auto"/>
        </w:rPr>
        <w:t xml:space="preserve">Any money deposited with the Trustee or any Paying Agent, or then held by the Company, in trust for the payment of the principal of, premium on, if any, or interest, if any, on any Note and remaining unclaimed for two years after such principal, premium, if any, interest, if any,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7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ection</w:t>
      </w:r>
      <w:r>
        <w:rPr>
          <w:rFonts w:ascii="Times New Roman" w:cs="Times New Roman" w:eastAsia="Times New Roman" w:hAnsi="Times New Roman"/>
          <w:sz w:val="17"/>
          <w:szCs w:val="17"/>
          <w:b w:val="1"/>
          <w:bCs w:val="1"/>
          <w:color w:val="auto"/>
        </w:rPr>
        <w:t xml:space="preserve"> 14.07.</w:t>
      </w:r>
      <w:r>
        <w:rPr>
          <w:sz w:val="20"/>
          <w:szCs w:val="20"/>
          <w:color w:val="auto"/>
        </w:rPr>
        <w:tab/>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einstatement</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17"/>
          <w:szCs w:val="17"/>
          <w:color w:val="auto"/>
        </w:rPr>
        <w:t xml:space="preserve">If the Trustee or Paying Agent is unable to apply any U.S. dollars or non-callable government securities in accordance with Section 14.02 or 14.03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14.02 or 14.03 hereof until such time as the Trustee or Paying Agent is permitted to apply all such money in accordance with Section 14.02 or 14.03 hereof, as the case may be;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Company makes any payment of principal of, premium on, if any, interest, if any, on, any Note following the reinstatement of its obligations, the Company will be subrogated to the rights of the Holders of such Notes to receive such payment from the money held by the Trustee or Paying Agent.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The Remainder of This Page Intentionally Left Blank; 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to this Indenture have caused this Indenture to be duly executed as of the date first written above.</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1"/>
          <w:szCs w:val="11"/>
          <w:color w:val="auto"/>
        </w:rPr>
        <w:t>he</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1"/>
          <w:szCs w:val="11"/>
          <w:color w:val="auto"/>
        </w:rPr>
        <w:t>eauty</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1"/>
          <w:szCs w:val="11"/>
          <w:color w:val="auto"/>
        </w:rPr>
        <w:t>ealth</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ompany</w:t>
      </w:r>
    </w:p>
    <w:p>
      <w:pPr>
        <w:spacing w:after="0" w:line="2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-123190</wp:posOffset>
            </wp:positionV>
            <wp:extent cx="24923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U.S. B</w:t>
      </w:r>
      <w:r>
        <w:rPr>
          <w:rFonts w:ascii="Times New Roman" w:cs="Times New Roman" w:eastAsia="Times New Roman" w:hAnsi="Times New Roman"/>
          <w:sz w:val="11"/>
          <w:szCs w:val="11"/>
          <w:color w:val="auto"/>
        </w:rPr>
        <w:t>ank</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rust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ompany</w:t>
      </w:r>
      <w:r>
        <w:rPr>
          <w:rFonts w:ascii="Times New Roman" w:cs="Times New Roman" w:eastAsia="Times New Roman" w:hAnsi="Times New Roman"/>
          <w:sz w:val="17"/>
          <w:szCs w:val="17"/>
          <w:color w:val="auto"/>
        </w:rPr>
        <w:t>, N</w:t>
      </w:r>
      <w:r>
        <w:rPr>
          <w:rFonts w:ascii="Times New Roman" w:cs="Times New Roman" w:eastAsia="Times New Roman" w:hAnsi="Times New Roman"/>
          <w:sz w:val="11"/>
          <w:szCs w:val="11"/>
          <w:color w:val="auto"/>
        </w:rPr>
        <w:t>ational</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ssociation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1"/>
          <w:szCs w:val="11"/>
          <w:color w:val="auto"/>
        </w:rPr>
        <w:t>as</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rustee</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ollateral </w:t>
      </w:r>
      <w:r>
        <w:rPr>
          <w:rFonts w:ascii="Times New Roman" w:cs="Times New Roman" w:eastAsia="Times New Roman" w:hAnsi="Times New Roman"/>
          <w:sz w:val="17"/>
          <w:szCs w:val="17"/>
          <w:color w:val="auto"/>
        </w:rPr>
        <w:t>A</w:t>
      </w:r>
      <w:r>
        <w:rPr>
          <w:rFonts w:ascii="Times New Roman" w:cs="Times New Roman" w:eastAsia="Times New Roman" w:hAnsi="Times New Roman"/>
          <w:sz w:val="12"/>
          <w:szCs w:val="12"/>
          <w:color w:val="auto"/>
        </w:rPr>
        <w:t>gent</w:t>
      </w:r>
    </w:p>
    <w:p>
      <w:pPr>
        <w:spacing w:after="0" w:line="20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-123190</wp:posOffset>
            </wp:positionV>
            <wp:extent cx="24923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219710</wp:posOffset>
            </wp:positionV>
            <wp:extent cx="71367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77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FORM OF NOTE</w:t>
            </w:r>
          </w:p>
        </w:tc>
        <w:tc>
          <w:tcPr>
            <w:tcW w:w="44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8"/>
        </w:trPr>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60" w:type="dxa"/>
            <w:vAlign w:val="bottom"/>
            <w:gridSpan w:val="3"/>
          </w:tcPr>
          <w:p>
            <w:pPr>
              <w:jc w:val="center"/>
              <w:ind w:right="191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Global Note Legend, if applicable</w:t>
            </w: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60" w:type="dxa"/>
            <w:vAlign w:val="bottom"/>
            <w:gridSpan w:val="3"/>
          </w:tcPr>
          <w:p>
            <w:pPr>
              <w:jc w:val="center"/>
              <w:ind w:right="193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Restricted Note Legend, if applicable</w:t>
            </w: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60" w:type="dxa"/>
            <w:vAlign w:val="bottom"/>
            <w:gridSpan w:val="3"/>
          </w:tcPr>
          <w:p>
            <w:pPr>
              <w:jc w:val="center"/>
              <w:ind w:right="193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Non-Affiliate Legend</w:t>
            </w: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60" w:type="dxa"/>
            <w:vAlign w:val="bottom"/>
            <w:gridSpan w:val="3"/>
          </w:tcPr>
          <w:p>
            <w:pPr>
              <w:jc w:val="center"/>
              <w:ind w:right="1913"/>
              <w:spacing w:after="0"/>
              <w:rPr>
                <w:sz w:val="20"/>
                <w:szCs w:val="20"/>
                <w:color w:val="auto"/>
              </w:rPr>
            </w:pPr>
            <w:r>
              <w:rPr>
                <w:rFonts w:ascii="Times New Roman" w:cs="Times New Roman" w:eastAsia="Times New Roman" w:hAnsi="Times New Roman"/>
                <w:sz w:val="17"/>
                <w:szCs w:val="17"/>
                <w:b w:val="1"/>
                <w:bCs w:val="1"/>
                <w:color w:val="auto"/>
              </w:rPr>
              <w:t>THE BEAUTY HEALTH COMPANY</w:t>
            </w:r>
          </w:p>
        </w:tc>
        <w:tc>
          <w:tcPr>
            <w:tcW w:w="58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60" w:type="dxa"/>
            <w:vAlign w:val="bottom"/>
            <w:gridSpan w:val="3"/>
          </w:tcPr>
          <w:p>
            <w:pPr>
              <w:jc w:val="center"/>
              <w:ind w:right="1933"/>
              <w:spacing w:after="0"/>
              <w:rPr>
                <w:sz w:val="20"/>
                <w:szCs w:val="20"/>
                <w:color w:val="auto"/>
              </w:rPr>
            </w:pPr>
            <w:r>
              <w:rPr>
                <w:rFonts w:ascii="Times New Roman" w:cs="Times New Roman" w:eastAsia="Times New Roman" w:hAnsi="Times New Roman"/>
                <w:sz w:val="17"/>
                <w:szCs w:val="17"/>
                <w:b w:val="1"/>
                <w:bCs w:val="1"/>
                <w:color w:val="auto"/>
              </w:rPr>
              <w:t>7.95% Convertible Senior Secured Note due 2028</w:t>
            </w:r>
          </w:p>
        </w:tc>
        <w:tc>
          <w:tcPr>
            <w:tcW w:w="580" w:type="dxa"/>
            <w:vAlign w:val="bottom"/>
          </w:tcPr>
          <w:p>
            <w:pPr>
              <w:spacing w:after="0"/>
              <w:rPr>
                <w:sz w:val="24"/>
                <w:szCs w:val="24"/>
                <w:color w:val="auto"/>
              </w:rPr>
            </w:pPr>
          </w:p>
        </w:tc>
      </w:tr>
      <w:tr>
        <w:trPr>
          <w:trHeight w:val="40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CUSIP No.:</w:t>
            </w:r>
          </w:p>
        </w:tc>
        <w:tc>
          <w:tcPr>
            <w:tcW w:w="166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[___]</w:t>
            </w:r>
          </w:p>
        </w:tc>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0" w:type="dxa"/>
            <w:vAlign w:val="bottom"/>
          </w:tcPr>
          <w:p>
            <w:pPr>
              <w:ind w:left="3140"/>
              <w:spacing w:after="0"/>
              <w:rPr>
                <w:sz w:val="20"/>
                <w:szCs w:val="20"/>
                <w:color w:val="auto"/>
              </w:rPr>
            </w:pPr>
            <w:r>
              <w:rPr>
                <w:rFonts w:ascii="Times New Roman" w:cs="Times New Roman" w:eastAsia="Times New Roman" w:hAnsi="Times New Roman"/>
                <w:sz w:val="17"/>
                <w:szCs w:val="17"/>
                <w:color w:val="auto"/>
              </w:rPr>
              <w:t>Certificate No.</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[___]</w:t>
            </w:r>
          </w:p>
        </w:tc>
      </w:tr>
      <w:tr>
        <w:trPr>
          <w:trHeight w:val="22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ISIN No.:</w:t>
            </w:r>
          </w:p>
        </w:tc>
        <w:tc>
          <w:tcPr>
            <w:tcW w:w="166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[___]</w:t>
            </w:r>
          </w:p>
        </w:tc>
        <w:tc>
          <w:tcPr>
            <w:tcW w:w="2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91" w:lineRule="exact"/>
        <w:rPr>
          <w:sz w:val="20"/>
          <w:szCs w:val="20"/>
          <w:color w:val="auto"/>
        </w:rPr>
      </w:pPr>
    </w:p>
    <w:p>
      <w:pPr>
        <w:jc w:val="both"/>
        <w:ind w:firstLine="628"/>
        <w:spacing w:after="0" w:line="227" w:lineRule="auto"/>
        <w:rPr>
          <w:sz w:val="20"/>
          <w:szCs w:val="20"/>
          <w:color w:val="auto"/>
        </w:rPr>
      </w:pPr>
      <w:r>
        <w:rPr>
          <w:rFonts w:ascii="Times New Roman" w:cs="Times New Roman" w:eastAsia="Times New Roman" w:hAnsi="Times New Roman"/>
          <w:sz w:val="17"/>
          <w:szCs w:val="17"/>
          <w:color w:val="auto"/>
        </w:rPr>
        <w:t>The Beauty Health Company, a Delaware corporation, for value received, promises to pay to Cede &amp; Co., or its registered assigns, the principal sum of dollars ($ ) (as revised by the attached Schedule of Exchanges of Interests in the Global Note)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7"/>
          <w:szCs w:val="17"/>
          <w:color w:val="auto"/>
        </w:rPr>
        <w:t xml:space="preserve"> on November 15, 2028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773" w:right="3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and November 15 of each year, commencing on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sectPr>
          <w:pgSz w:w="11900" w:h="16838" w:orient="portrait"/>
          <w:cols w:equalWidth="0" w:num="2">
            <w:col w:w="2660" w:space="720"/>
            <w:col w:w="7860"/>
          </w:cols>
          <w:pgMar w:left="320" w:top="773"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Regular Record Dates: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 and November 1.</w:t>
      </w:r>
    </w:p>
    <w:p>
      <w:pPr>
        <w:spacing w:after="0" w:line="200" w:lineRule="exact"/>
        <w:rPr>
          <w:sz w:val="20"/>
          <w:szCs w:val="20"/>
          <w:color w:val="auto"/>
        </w:rPr>
      </w:pPr>
    </w:p>
    <w:p>
      <w:pPr>
        <w:sectPr>
          <w:pgSz w:w="11900" w:h="16838" w:orient="portrait"/>
          <w:cols w:equalWidth="0" w:num="2">
            <w:col w:w="2660" w:space="720"/>
            <w:col w:w="7860"/>
          </w:cols>
          <w:pgMar w:left="320" w:top="773" w:right="339" w:bottom="1440" w:gutter="0" w:footer="0" w:header="0"/>
          <w:type w:val="continuous"/>
        </w:sect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Additional provisions of this Note are set forth on the other side of this Note.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The Remainder of This Page Intentionally Left Blank; 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ind w:left="120" w:hanging="115"/>
        <w:spacing w:after="0" w:line="201" w:lineRule="auto"/>
        <w:tabs>
          <w:tab w:leader="none" w:pos="120" w:val="left"/>
        </w:tabs>
        <w:numPr>
          <w:ilvl w:val="0"/>
          <w:numId w:val="1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Insert bracketed language for Global Notes only.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50" w:name="page151"/>
    <w:bookmarkEnd w:id="150"/>
    <w:p>
      <w:pPr>
        <w:ind w:lef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Beauty Health Company has caused this instrument to be duly executed as of the date set forth below.</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T</w:t>
      </w:r>
      <w:r>
        <w:rPr>
          <w:rFonts w:ascii="Times New Roman" w:cs="Times New Roman" w:eastAsia="Times New Roman" w:hAnsi="Times New Roman"/>
          <w:sz w:val="11"/>
          <w:szCs w:val="11"/>
          <w:color w:val="auto"/>
        </w:rPr>
        <w:t>he</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1"/>
          <w:szCs w:val="11"/>
          <w:color w:val="auto"/>
        </w:rPr>
        <w:t>eauty</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1"/>
          <w:szCs w:val="11"/>
          <w:color w:val="auto"/>
        </w:rPr>
        <w:t>ealth</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20320</wp:posOffset>
            </wp:positionV>
            <wp:extent cx="1786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-123190</wp:posOffset>
            </wp:positionV>
            <wp:extent cx="24923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51" w:name="page152"/>
    <w:bookmarkEnd w:id="151"/>
    <w:p>
      <w:pPr>
        <w:ind w:left="3680"/>
        <w:spacing w:after="0"/>
        <w:rPr>
          <w:sz w:val="20"/>
          <w:szCs w:val="20"/>
          <w:color w:val="auto"/>
        </w:rPr>
      </w:pPr>
      <w:r>
        <w:rPr>
          <w:rFonts w:ascii="Times New Roman" w:cs="Times New Roman" w:eastAsia="Times New Roman" w:hAnsi="Times New Roman"/>
          <w:sz w:val="17"/>
          <w:szCs w:val="17"/>
          <w:color w:val="auto"/>
        </w:rPr>
        <w:t>TRUSTEE’S CERTIFICATE OF AUTHENTICATION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-123190</wp:posOffset>
            </wp:positionV>
            <wp:extent cx="24923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9237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-123190</wp:posOffset>
            </wp:positionV>
            <wp:extent cx="1786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139"/>
          </w:cols>
          <w:pgMar w:left="320" w:top="775"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b w:val="1"/>
          <w:bCs w:val="1"/>
          <w:color w:val="auto"/>
        </w:rPr>
        <w:t>THE BEAUTY HEALTH COMPANY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7.95% Convertible Senior Secured Note due 2028</w:t>
      </w:r>
    </w:p>
    <w:p>
      <w:pPr>
        <w:spacing w:after="0" w:line="223"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This Note is one of a duly authorized issue of notes of The Beauty Health Company,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designated as its 7.95% Convertible Senior Secured Notes due 2028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all issued or to be issued pursuant to an indenture, dated as of September 14, 2021 (as the same may be amended from time to time,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between the Company and U.S. Bank Trust Company, National Association, as trustee and collateral agent. Capitalized terms used in this Note without definition have the respective meanings ascribed to them in the Indenture.</w:t>
      </w:r>
    </w:p>
    <w:p>
      <w:pPr>
        <w:spacing w:after="0" w:line="169"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The Indenture sets forth the rights and obligations of the Company, the Trustee, the Collateral Agent and the Holders and the terms of the Notes. Notwithstanding anything to the contrary in this Note, to the extent that any provision of this Note conflicts with the provisions of the Indenture, the provisions of the Indenture will control.</w:t>
      </w:r>
    </w:p>
    <w:p>
      <w:pPr>
        <w:spacing w:after="0" w:line="161" w:lineRule="exact"/>
        <w:rPr>
          <w:sz w:val="20"/>
          <w:szCs w:val="20"/>
          <w:color w:val="auto"/>
        </w:rPr>
      </w:pPr>
    </w:p>
    <w:p>
      <w:pPr>
        <w:ind w:firstLine="633"/>
        <w:spacing w:after="0" w:line="298"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 This Note will accrue interest at a rate and in the manner set forth in Section 2.05 of the Indenture. Stated Interest on this Note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begin to accrue from, and including,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Maturity</w:t>
      </w:r>
      <w:r>
        <w:rPr>
          <w:rFonts w:ascii="Times New Roman" w:cs="Times New Roman" w:eastAsia="Times New Roman" w:hAnsi="Times New Roman"/>
          <w:sz w:val="17"/>
          <w:szCs w:val="17"/>
          <w:color w:val="auto"/>
        </w:rPr>
        <w:t>. This Note will mature on November 15, 2028, unless earlier repurchased, redeemed or converted.</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Method of Payment</w:t>
      </w:r>
      <w:r>
        <w:rPr>
          <w:rFonts w:ascii="Times New Roman" w:cs="Times New Roman" w:eastAsia="Times New Roman" w:hAnsi="Times New Roman"/>
          <w:sz w:val="17"/>
          <w:szCs w:val="17"/>
          <w:color w:val="auto"/>
        </w:rPr>
        <w:t>. Cash amounts due on this Note will be paid in the manner set forth in Section 2.04 of the Indenture.</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Persons Deemed Owners</w:t>
      </w:r>
      <w:r>
        <w:rPr>
          <w:rFonts w:ascii="Times New Roman" w:cs="Times New Roman" w:eastAsia="Times New Roman" w:hAnsi="Times New Roman"/>
          <w:sz w:val="17"/>
          <w:szCs w:val="17"/>
          <w:color w:val="auto"/>
        </w:rPr>
        <w:t>. The Holder of this Note will be treated as the owner of this Note for all purposes.</w:t>
      </w:r>
    </w:p>
    <w:p>
      <w:pPr>
        <w:spacing w:after="0" w:line="223"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Denominations; Transfers and Exchanges</w:t>
      </w:r>
      <w:r>
        <w:rPr>
          <w:rFonts w:ascii="Times New Roman" w:cs="Times New Roman" w:eastAsia="Times New Roman" w:hAnsi="Times New Roman"/>
          <w:sz w:val="17"/>
          <w:szCs w:val="17"/>
          <w:color w:val="auto"/>
        </w:rPr>
        <w:t>. All Notes will be in registered form, without coupons, in principal amounts equal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60"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Right of Holders to Require the Company to Repurchase Notes Upon a Fundamental Change</w:t>
      </w:r>
      <w:r>
        <w:rPr>
          <w:rFonts w:ascii="Times New Roman" w:cs="Times New Roman" w:eastAsia="Times New Roman" w:hAnsi="Times New Roman"/>
          <w:sz w:val="17"/>
          <w:szCs w:val="17"/>
          <w:color w:val="auto"/>
        </w:rPr>
        <w:t>. If a Fundamental Change occurs, then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Holder will have the right to require the Company to repurchase such Holder’s Notes (or any portion thereof in an Authorized Denomination) for cash in the manner, and subject to the terms, set forth in Section 4.02 of the Indenture.</w:t>
      </w:r>
    </w:p>
    <w:p>
      <w:pPr>
        <w:spacing w:after="0" w:line="160"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Right of the Company to Redeem the Notes</w:t>
      </w:r>
      <w:r>
        <w:rPr>
          <w:rFonts w:ascii="Times New Roman" w:cs="Times New Roman" w:eastAsia="Times New Roman" w:hAnsi="Times New Roman"/>
          <w:sz w:val="17"/>
          <w:szCs w:val="17"/>
          <w:color w:val="auto"/>
        </w:rPr>
        <w:t>. The Company will have the right to redeem the Notes for cash in the manner, and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set forth in Section 4.03 of the Indenture.</w:t>
      </w:r>
    </w:p>
    <w:p>
      <w:pPr>
        <w:spacing w:after="0" w:line="142"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The Holder of this Note may convert this Note into Conversion Consideration in the manner, and subject to the terms,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Article 5 of the Indenture.</w:t>
      </w:r>
    </w:p>
    <w:p>
      <w:pPr>
        <w:spacing w:after="0" w:line="142"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When the Company May Merge, Etc</w:t>
      </w:r>
      <w:r>
        <w:rPr>
          <w:rFonts w:ascii="Times New Roman" w:cs="Times New Roman" w:eastAsia="Times New Roman" w:hAnsi="Times New Roman"/>
          <w:sz w:val="17"/>
          <w:szCs w:val="17"/>
          <w:color w:val="auto"/>
        </w:rPr>
        <w:t>. Article 6 of the Indenture places limited restrictions on the Company’s ability to be a party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Combination Event.</w:t>
      </w:r>
    </w:p>
    <w:p>
      <w:pPr>
        <w:spacing w:after="0" w:line="142"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Defaults and Remedies</w:t>
      </w:r>
      <w:r>
        <w:rPr>
          <w:rFonts w:ascii="Times New Roman" w:cs="Times New Roman" w:eastAsia="Times New Roman" w:hAnsi="Times New Roman"/>
          <w:sz w:val="17"/>
          <w:szCs w:val="17"/>
          <w:color w:val="auto"/>
        </w:rPr>
        <w:t>. If an Event of Default occurs, then the principal amount of, and all accrued and unpaid interest on, all of the Notes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then outstanding may (and, in certain circumstances, will automatically) become due and payable in the manner, and subject to the terms, set forth in Article 7 of the Indenture.</w:t>
      </w:r>
    </w:p>
    <w:p>
      <w:pPr>
        <w:spacing w:after="0" w:line="160"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 Supplements and Waivers</w:t>
      </w:r>
      <w:r>
        <w:rPr>
          <w:rFonts w:ascii="Times New Roman" w:cs="Times New Roman" w:eastAsia="Times New Roman" w:hAnsi="Times New Roman"/>
          <w:sz w:val="17"/>
          <w:szCs w:val="17"/>
          <w:color w:val="auto"/>
        </w:rPr>
        <w:t>. The Company and the Trustee may amend or supplement the Indenture or the Notes or waive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with any provision of the Indenture or the Notes in the manner, and subject to the terms, set forth in Section 7.05 and Article 8 of the Indenture.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3" w:name="page154"/>
    <w:bookmarkEnd w:id="153"/>
    <w:p>
      <w:pPr>
        <w:jc w:val="both"/>
        <w:ind w:firstLine="633"/>
        <w:spacing w:after="0" w:line="270" w:lineRule="auto"/>
        <w:tabs>
          <w:tab w:leader="none" w:pos="125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Personal Liability of Directors, Officers, Employees and Stockholders</w:t>
      </w:r>
      <w:r>
        <w:rPr>
          <w:rFonts w:ascii="Times New Roman" w:cs="Times New Roman" w:eastAsia="Times New Roman" w:hAnsi="Times New Roman"/>
          <w:sz w:val="17"/>
          <w:szCs w:val="17"/>
          <w:color w:val="auto"/>
        </w:rPr>
        <w:t>. No past, present or future director, officer,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67" w:lineRule="exact"/>
        <w:rPr>
          <w:rFonts w:ascii="Times New Roman" w:cs="Times New Roman" w:eastAsia="Times New Roman" w:hAnsi="Times New Roman"/>
          <w:sz w:val="17"/>
          <w:szCs w:val="17"/>
          <w:color w:val="auto"/>
        </w:rPr>
      </w:pPr>
    </w:p>
    <w:p>
      <w:pPr>
        <w:ind w:firstLine="633"/>
        <w:spacing w:after="0" w:line="298" w:lineRule="auto"/>
        <w:tabs>
          <w:tab w:leader="none" w:pos="125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Authentication</w:t>
      </w:r>
      <w:r>
        <w:rPr>
          <w:rFonts w:ascii="Times New Roman" w:cs="Times New Roman" w:eastAsia="Times New Roman" w:hAnsi="Times New Roman"/>
          <w:sz w:val="17"/>
          <w:szCs w:val="17"/>
          <w:color w:val="auto"/>
        </w:rPr>
        <w:t>. No Note will be valid until it is authenticated by the Trustee. A Note will be deemed to be duly authenticated only when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signatory of the Trustee (or a duly appointed authenticating agent) manually signs the certificate of authentication of such Note.</w:t>
      </w:r>
    </w:p>
    <w:p>
      <w:pPr>
        <w:spacing w:after="0" w:line="142" w:lineRule="exact"/>
        <w:rPr>
          <w:rFonts w:ascii="Times New Roman" w:cs="Times New Roman" w:eastAsia="Times New Roman" w:hAnsi="Times New Roman"/>
          <w:sz w:val="17"/>
          <w:szCs w:val="17"/>
          <w:color w:val="auto"/>
        </w:rPr>
      </w:pPr>
    </w:p>
    <w:p>
      <w:pPr>
        <w:jc w:val="both"/>
        <w:ind w:firstLine="633"/>
        <w:spacing w:after="0" w:line="277" w:lineRule="auto"/>
        <w:tabs>
          <w:tab w:leader="none" w:pos="125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Abbreviations</w:t>
      </w:r>
      <w:r>
        <w:rPr>
          <w:rFonts w:ascii="Times New Roman" w:cs="Times New Roman" w:eastAsia="Times New Roman" w:hAnsi="Times New Roman"/>
          <w:sz w:val="17"/>
          <w:szCs w:val="17"/>
          <w:color w:val="auto"/>
        </w:rPr>
        <w:t>. Customary abbreviations may be used in the name of a Holder or its assignee, such as TEN COM (tenants in common), 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 (tenants by the entireties), JT TEN (joint tenants with right of survivorship and not as tenants in common), CUST (custodian), and U/G/M/A (Uniform Gift to Minors Act).</w:t>
      </w:r>
    </w:p>
    <w:p>
      <w:pPr>
        <w:spacing w:after="0" w:line="160"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THIS NOTE, AND ANY CLAIM, CONTROVERSY OR DISPUTE ARISING UNDER OR RELATED TO THIS NOTE,</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 GOVERNED BY AND CONSTRUED IN ACCORDANCE WITH THE LAWS OF THE STATE OF NEW YORK.</w:t>
      </w:r>
    </w:p>
    <w:p>
      <w:pPr>
        <w:spacing w:after="0" w:line="205" w:lineRule="exact"/>
        <w:rPr>
          <w:rFonts w:ascii="Times New Roman" w:cs="Times New Roman" w:eastAsia="Times New Roman" w:hAnsi="Times New Roman"/>
          <w:sz w:val="17"/>
          <w:szCs w:val="17"/>
          <w:color w:val="auto"/>
        </w:rPr>
      </w:pPr>
    </w:p>
    <w:p>
      <w:pPr>
        <w:ind w:left="5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 request a copy of the Indenture, which the Company will provide to any Holder at no charge, please send a written request to the following address: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Beauty Health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2165 Spring Street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Long Beach, CA 90806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SCHEDULE OF EXCHANGES OF INTERESTS IN THE GLOBAL NOTE </w:t>
      </w:r>
      <w:r>
        <w:rPr>
          <w:rFonts w:ascii="Times New Roman" w:cs="Times New Roman" w:eastAsia="Times New Roman" w:hAnsi="Times New Roman"/>
          <w:sz w:val="29"/>
          <w:szCs w:val="29"/>
          <w:b w:val="1"/>
          <w:bCs w:val="1"/>
          <w:color w:val="auto"/>
          <w:vertAlign w:val="superscript"/>
        </w:rPr>
        <w:t>2</w:t>
      </w:r>
    </w:p>
    <w:p>
      <w:pPr>
        <w:spacing w:after="0" w:line="12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color w:val="auto"/>
        </w:rPr>
        <w:t>INITIAL PRINCIPAL AMOUNT OF THIS GLOBAL NOTE: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exchanges, transfers or cancellations of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 Increase (Decrease) in</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Amount of this Global</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9"/>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Amount of this Global</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Note After Such Increase</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 of Authorized Signatory</w:t>
            </w:r>
          </w:p>
        </w:tc>
      </w:tr>
      <w:tr>
        <w:trPr>
          <w:trHeight w:val="230"/>
        </w:trPr>
        <w:tc>
          <w:tcPr>
            <w:tcW w:w="28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2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Note</w:t>
            </w:r>
          </w:p>
        </w:tc>
        <w:tc>
          <w:tcPr>
            <w:tcW w:w="10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10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 Trustee</w:t>
            </w:r>
          </w:p>
        </w:tc>
      </w:tr>
      <w:tr>
        <w:trPr>
          <w:trHeight w:val="425"/>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38"/>
        </w:trPr>
        <w:tc>
          <w:tcPr>
            <w:tcW w:w="2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ind w:left="120" w:hanging="115"/>
        <w:spacing w:after="0" w:line="201" w:lineRule="auto"/>
        <w:tabs>
          <w:tab w:leader="none" w:pos="120" w:val="left"/>
        </w:tabs>
        <w:numPr>
          <w:ilvl w:val="0"/>
          <w:numId w:val="18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Insert for Global Notes only.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7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b w:val="1"/>
          <w:bCs w:val="1"/>
          <w:color w:val="auto"/>
        </w:rPr>
        <w:t>CONVERSION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BEAUTY HEALTH COMPANY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7.95% Convertible Senior Secured Notes due 2028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the terms of the Indenture, by executing and delivering this Conversion Notice, the undersigned Holder of the Note identified below directs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to convert (check one):</w:t>
      </w:r>
    </w:p>
    <w:p>
      <w:pPr>
        <w:spacing w:after="0" w:line="205" w:lineRule="exact"/>
        <w:rPr>
          <w:sz w:val="20"/>
          <w:szCs w:val="20"/>
          <w:color w:val="auto"/>
        </w:rPr>
      </w:pPr>
    </w:p>
    <w:p>
      <w:pPr>
        <w:ind w:left="640" w:hanging="635"/>
        <w:spacing w:after="0"/>
        <w:tabs>
          <w:tab w:leader="none" w:pos="640" w:val="left"/>
        </w:tabs>
        <w:numPr>
          <w:ilvl w:val="0"/>
          <w:numId w:val="184"/>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the entire principal amount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00" w:type="dxa"/>
            <w:vAlign w:val="bottom"/>
          </w:tcPr>
          <w:p>
            <w:pPr>
              <w:spacing w:after="0"/>
              <w:rPr>
                <w:sz w:val="20"/>
                <w:szCs w:val="20"/>
                <w:color w:val="auto"/>
              </w:rPr>
            </w:pPr>
            <w:r>
              <w:rPr>
                <w:rFonts w:ascii="Wingdings" w:cs="Wingdings" w:eastAsia="Wingdings" w:hAnsi="Wingdings"/>
                <w:sz w:val="17"/>
                <w:szCs w:val="17"/>
                <w:b w:val="1"/>
                <w:bCs w:val="1"/>
                <w:color w:val="auto"/>
              </w:rPr>
              <w:t>o</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spacing w:after="0"/>
              <w:rPr>
                <w:sz w:val="24"/>
                <w:szCs w:val="24"/>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7"/>
                <w:szCs w:val="17"/>
                <w:color w:val="auto"/>
              </w:rPr>
              <w:t xml:space="preserve"> aggregate principal amount of</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Note identified by CUSIP No.</w:t>
            </w:r>
          </w:p>
        </w:tc>
        <w:tc>
          <w:tcPr>
            <w:tcW w:w="900" w:type="dxa"/>
            <w:vAlign w:val="bottom"/>
            <w:tcBorders>
              <w:bottom w:val="single" w:sz="8" w:color="auto"/>
            </w:tcBorders>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Certificate No.</w:t>
            </w:r>
          </w:p>
        </w:tc>
        <w:tc>
          <w:tcPr>
            <w:tcW w:w="9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1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undersigned represents that it is not an “affiliate” (within the meaning of Rule 144 under the Securities Act of 1933, as amended) (and was not an “affiliate” at any time during the three months prior to the date hereof).</w:t>
      </w:r>
    </w:p>
    <w:p>
      <w:pPr>
        <w:spacing w:after="0" w:line="1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3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-123190</wp:posOffset>
            </wp:positionV>
            <wp:extent cx="67792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9260" cy="8255"/>
                    </a:xfrm>
                    <a:prstGeom prst="rect">
                      <a:avLst/>
                    </a:prstGeom>
                    <a:noFill/>
                  </pic:spPr>
                </pic:pic>
              </a:graphicData>
            </a:graphic>
          </wp:anchor>
        </w:drawing>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-123190</wp:posOffset>
            </wp:positionV>
            <wp:extent cx="32067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ind w:left="120" w:hanging="115"/>
        <w:spacing w:after="0" w:line="201" w:lineRule="auto"/>
        <w:tabs>
          <w:tab w:leader="none" w:pos="120" w:val="left"/>
        </w:tabs>
        <w:numPr>
          <w:ilvl w:val="0"/>
          <w:numId w:val="18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Must be an Authorized Denomination.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7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7"/>
          <w:szCs w:val="17"/>
          <w:b w:val="1"/>
          <w:bCs w:val="1"/>
          <w:color w:val="auto"/>
        </w:rPr>
        <w:t>FUNDAMENTAL CHANGE REPURCHASE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BEAUTY HEALTH COMPANY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7.95% Convertible Senior Secured Notes due 2028</w:t>
      </w:r>
    </w:p>
    <w:p>
      <w:pPr>
        <w:spacing w:after="0" w:line="22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46" w:lineRule="exact"/>
        <w:rPr>
          <w:sz w:val="20"/>
          <w:szCs w:val="20"/>
          <w:color w:val="auto"/>
        </w:rPr>
      </w:pPr>
    </w:p>
    <w:p>
      <w:pPr>
        <w:ind w:left="640" w:hanging="635"/>
        <w:spacing w:after="0"/>
        <w:tabs>
          <w:tab w:leader="none" w:pos="640" w:val="left"/>
        </w:tabs>
        <w:numPr>
          <w:ilvl w:val="0"/>
          <w:numId w:val="186"/>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the entire principal amount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00" w:type="dxa"/>
            <w:vAlign w:val="bottom"/>
          </w:tcPr>
          <w:p>
            <w:pPr>
              <w:spacing w:after="0"/>
              <w:rPr>
                <w:sz w:val="20"/>
                <w:szCs w:val="20"/>
                <w:color w:val="auto"/>
              </w:rPr>
            </w:pPr>
            <w:r>
              <w:rPr>
                <w:rFonts w:ascii="Wingdings" w:cs="Wingdings" w:eastAsia="Wingdings" w:hAnsi="Wingdings"/>
                <w:sz w:val="17"/>
                <w:szCs w:val="17"/>
                <w:b w:val="1"/>
                <w:bCs w:val="1"/>
                <w:color w:val="auto"/>
              </w:rPr>
              <w:t>o</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spacing w:after="0"/>
              <w:rPr>
                <w:sz w:val="24"/>
                <w:szCs w:val="24"/>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7"/>
                <w:szCs w:val="17"/>
                <w:color w:val="auto"/>
              </w:rPr>
              <w:t xml:space="preserve"> aggregate principal amount of</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Note identified by CUSIP No.</w:t>
            </w:r>
          </w:p>
        </w:tc>
        <w:tc>
          <w:tcPr>
            <w:tcW w:w="900" w:type="dxa"/>
            <w:vAlign w:val="bottom"/>
            <w:tcBorders>
              <w:bottom w:val="single" w:sz="8" w:color="auto"/>
            </w:tcBorders>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Certificate No.</w:t>
            </w:r>
          </w:p>
        </w:tc>
        <w:tc>
          <w:tcPr>
            <w:tcW w:w="9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1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undersigned acknowledges that this Note, duly endorsed for transfer, must be delivered to the Paying Agent before the Fundamental Change Repurchase Price will be paid.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3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-123190</wp:posOffset>
            </wp:positionV>
            <wp:extent cx="67792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9260" cy="8255"/>
                    </a:xfrm>
                    <a:prstGeom prst="rect">
                      <a:avLst/>
                    </a:prstGeom>
                    <a:noFill/>
                  </pic:spPr>
                </pic:pic>
              </a:graphicData>
            </a:graphic>
          </wp:anchor>
        </w:drawing>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-123190</wp:posOffset>
            </wp:positionV>
            <wp:extent cx="32067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ind w:left="120" w:hanging="115"/>
        <w:spacing w:after="0" w:line="201" w:lineRule="auto"/>
        <w:tabs>
          <w:tab w:leader="none" w:pos="120" w:val="left"/>
        </w:tabs>
        <w:numPr>
          <w:ilvl w:val="0"/>
          <w:numId w:val="18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Must be an Authorized Denomination.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7" w:name="page158"/>
    <w:bookmarkEnd w:id="157"/>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THE BEAUTY HEALTH COMPANY</w:t>
      </w:r>
    </w:p>
    <w:p>
      <w:pPr>
        <w:spacing w:after="0" w:line="2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7.95% Convertible Senior Secured Notes due 2028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the terms of the Indenture, the undersigned Holder of the Notes identified below assigns (check one):</w:t>
      </w:r>
    </w:p>
    <w:p>
      <w:pPr>
        <w:spacing w:after="0" w:line="223" w:lineRule="exact"/>
        <w:rPr>
          <w:sz w:val="20"/>
          <w:szCs w:val="20"/>
          <w:color w:val="auto"/>
        </w:rPr>
      </w:pPr>
    </w:p>
    <w:p>
      <w:pPr>
        <w:ind w:left="640" w:hanging="635"/>
        <w:spacing w:after="0"/>
        <w:tabs>
          <w:tab w:leader="none" w:pos="640" w:val="left"/>
        </w:tabs>
        <w:numPr>
          <w:ilvl w:val="0"/>
          <w:numId w:val="188"/>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the entire principal amount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00" w:type="dxa"/>
            <w:vAlign w:val="bottom"/>
          </w:tcPr>
          <w:p>
            <w:pPr>
              <w:spacing w:after="0"/>
              <w:rPr>
                <w:sz w:val="20"/>
                <w:szCs w:val="20"/>
                <w:color w:val="auto"/>
              </w:rPr>
            </w:pPr>
            <w:r>
              <w:rPr>
                <w:rFonts w:ascii="Wingdings" w:cs="Wingdings" w:eastAsia="Wingdings" w:hAnsi="Wingdings"/>
                <w:sz w:val="17"/>
                <w:szCs w:val="17"/>
                <w:b w:val="1"/>
                <w:bCs w:val="1"/>
                <w:color w:val="auto"/>
              </w:rPr>
              <w:t>o</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spacing w:after="0"/>
              <w:rPr>
                <w:sz w:val="24"/>
                <w:szCs w:val="24"/>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7"/>
                <w:szCs w:val="17"/>
                <w:color w:val="auto"/>
              </w:rPr>
              <w:t xml:space="preserve"> aggregate principal amount of</w:t>
            </w:r>
          </w:p>
        </w:tc>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99"/>
        </w:trPr>
        <w:tc>
          <w:tcPr>
            <w:tcW w:w="2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Notes identified by CUSIP No.</w:t>
            </w:r>
          </w:p>
        </w:tc>
        <w:tc>
          <w:tcPr>
            <w:tcW w:w="920" w:type="dxa"/>
            <w:vAlign w:val="bottom"/>
            <w:tcBorders>
              <w:bottom w:val="single" w:sz="8" w:color="auto"/>
            </w:tcBorders>
          </w:tcPr>
          <w:p>
            <w:pPr>
              <w:spacing w:after="0"/>
              <w:rPr>
                <w:sz w:val="24"/>
                <w:szCs w:val="2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and Certificate No.</w:t>
            </w:r>
          </w:p>
        </w:tc>
        <w:tc>
          <w:tcPr>
            <w:tcW w:w="900" w:type="dxa"/>
            <w:vAlign w:val="bottom"/>
            <w:tcBorders>
              <w:bottom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 and all rights thereunder, to:</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20320</wp:posOffset>
            </wp:positionV>
            <wp:extent cx="49930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9300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20320</wp:posOffset>
            </wp:positionV>
            <wp:extent cx="49930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9300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security or 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20320</wp:posOffset>
            </wp:positionV>
            <wp:extent cx="49930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9300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20320</wp:posOffset>
            </wp:positionV>
            <wp:extent cx="49930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9300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agent to transfer the within Note on the books of the Company. The agent may substitute another to act for him/her.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32"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7"/>
          <w:szCs w:val="17"/>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-123190</wp:posOffset>
            </wp:positionV>
            <wp:extent cx="67792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9260" cy="8255"/>
                    </a:xfrm>
                    <a:prstGeom prst="rect">
                      <a:avLst/>
                    </a:prstGeom>
                    <a:noFill/>
                  </pic:spPr>
                </pic:pic>
              </a:graphicData>
            </a:graphic>
          </wp:anchor>
        </w:drawing>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-123190</wp:posOffset>
            </wp:positionV>
            <wp:extent cx="32067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ind w:left="120" w:hanging="115"/>
        <w:spacing w:after="0" w:line="201" w:lineRule="auto"/>
        <w:tabs>
          <w:tab w:leader="none" w:pos="120" w:val="left"/>
        </w:tabs>
        <w:numPr>
          <w:ilvl w:val="0"/>
          <w:numId w:val="18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Must be an Authorized Denomination.</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7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58" w:name="page159"/>
    <w:bookmarkEnd w:id="158"/>
    <w:p>
      <w:pPr>
        <w:ind w:left="4160"/>
        <w:spacing w:after="0"/>
        <w:rPr>
          <w:sz w:val="20"/>
          <w:szCs w:val="20"/>
          <w:color w:val="auto"/>
        </w:rPr>
      </w:pPr>
      <w:r>
        <w:rPr>
          <w:rFonts w:ascii="Times New Roman" w:cs="Times New Roman" w:eastAsia="Times New Roman" w:hAnsi="Times New Roman"/>
          <w:sz w:val="17"/>
          <w:szCs w:val="17"/>
          <w:color w:val="auto"/>
        </w:rPr>
        <w:t>TRANSFEROR ACKNOWLEDGMENT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within Note bears a Restricted Note Legend, the undersigned further certifies that (check one):</w:t>
      </w:r>
    </w:p>
    <w:p>
      <w:pPr>
        <w:spacing w:after="0" w:line="223" w:lineRule="exact"/>
        <w:rPr>
          <w:sz w:val="20"/>
          <w:szCs w:val="20"/>
          <w:color w:val="auto"/>
        </w:rPr>
      </w:pPr>
    </w:p>
    <w:p>
      <w:pPr>
        <w:ind w:left="460" w:hanging="455"/>
        <w:spacing w:after="0"/>
        <w:tabs>
          <w:tab w:leader="none" w:pos="460" w:val="left"/>
        </w:tabs>
        <w:numPr>
          <w:ilvl w:val="0"/>
          <w:numId w:val="190"/>
        </w:numPr>
        <w:rPr>
          <w:rFonts w:ascii="Times New Roman" w:cs="Times New Roman" w:eastAsia="Times New Roman" w:hAnsi="Times New Roman"/>
          <w:sz w:val="17"/>
          <w:szCs w:val="17"/>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Such Transfer is being made to the Company or a Subsidiary of the Company.</w:t>
      </w:r>
    </w:p>
    <w:p>
      <w:pPr>
        <w:spacing w:after="0" w:line="223" w:lineRule="exact"/>
        <w:rPr>
          <w:rFonts w:ascii="Times New Roman" w:cs="Times New Roman" w:eastAsia="Times New Roman" w:hAnsi="Times New Roman"/>
          <w:sz w:val="17"/>
          <w:szCs w:val="17"/>
          <w:color w:val="auto"/>
        </w:rPr>
      </w:pPr>
    </w:p>
    <w:p>
      <w:pPr>
        <w:ind w:left="900" w:hanging="895"/>
        <w:spacing w:after="0" w:line="296" w:lineRule="auto"/>
        <w:tabs>
          <w:tab w:leader="none" w:pos="455" w:val="left"/>
        </w:tabs>
        <w:numPr>
          <w:ilvl w:val="0"/>
          <w:numId w:val="190"/>
        </w:numPr>
        <w:rPr>
          <w:rFonts w:ascii="Times New Roman" w:cs="Times New Roman" w:eastAsia="Times New Roman" w:hAnsi="Times New Roman"/>
          <w:sz w:val="17"/>
          <w:szCs w:val="17"/>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Such Transfer is being made pursuant to, and in accordance with, a registration statement that is effective under the Securities Act at the time of the</w:t>
      </w:r>
      <w:r>
        <w:rPr>
          <w:rFonts w:ascii="Wingdings" w:cs="Wingdings" w:eastAsia="Wingdings" w:hAnsi="Wingdings"/>
          <w:sz w:val="17"/>
          <w:szCs w:val="17"/>
          <w:b w:val="1"/>
          <w:bCs w:val="1"/>
          <w:color w:val="auto"/>
        </w:rPr>
        <w:t xml:space="preserve"> </w:t>
      </w:r>
      <w:r>
        <w:rPr>
          <w:rFonts w:ascii="Times New Roman" w:cs="Times New Roman" w:eastAsia="Times New Roman" w:hAnsi="Times New Roman"/>
          <w:sz w:val="17"/>
          <w:szCs w:val="17"/>
          <w:color w:val="auto"/>
        </w:rPr>
        <w:t>Transfer.</w:t>
      </w:r>
    </w:p>
    <w:p>
      <w:pPr>
        <w:spacing w:after="0" w:line="145" w:lineRule="exact"/>
        <w:rPr>
          <w:rFonts w:ascii="Times New Roman" w:cs="Times New Roman" w:eastAsia="Times New Roman" w:hAnsi="Times New Roman"/>
          <w:sz w:val="17"/>
          <w:szCs w:val="17"/>
          <w:color w:val="auto"/>
        </w:rPr>
      </w:pPr>
    </w:p>
    <w:p>
      <w:pPr>
        <w:ind w:left="900" w:hanging="895"/>
        <w:spacing w:after="0" w:line="266" w:lineRule="auto"/>
        <w:tabs>
          <w:tab w:leader="none" w:pos="455" w:val="left"/>
        </w:tabs>
        <w:numPr>
          <w:ilvl w:val="0"/>
          <w:numId w:val="190"/>
        </w:numPr>
        <w:rPr>
          <w:rFonts w:ascii="Times New Roman" w:cs="Times New Roman" w:eastAsia="Times New Roman" w:hAnsi="Times New Roman"/>
          <w:sz w:val="17"/>
          <w:szCs w:val="17"/>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Such Transfer is being made pursuant to, and in accordance with, Rule 144A under the Securities Act, and, accordingly, the undersigned further</w:t>
      </w:r>
      <w:r>
        <w:rPr>
          <w:rFonts w:ascii="Wingdings" w:cs="Wingdings" w:eastAsia="Wingdings" w:hAnsi="Wingdings"/>
          <w:sz w:val="17"/>
          <w:szCs w:val="17"/>
          <w:b w:val="1"/>
          <w:bCs w:val="1"/>
          <w:color w:val="auto"/>
        </w:rPr>
        <w:t xml:space="preserve"> </w:t>
      </w:r>
      <w:r>
        <w:rPr>
          <w:rFonts w:ascii="Times New Roman" w:cs="Times New Roman" w:eastAsia="Times New Roman" w:hAnsi="Times New Roman"/>
          <w:sz w:val="17"/>
          <w:szCs w:val="17"/>
          <w:color w:val="auto"/>
        </w:rPr>
        <w:t xml:space="preserve">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Times New Roman" w:cs="Times New Roman" w:eastAsia="Times New Roman" w:hAnsi="Times New Roman"/>
          <w:sz w:val="17"/>
          <w:szCs w:val="17"/>
          <w:b w:val="1"/>
          <w:bCs w:val="1"/>
          <w:color w:val="auto"/>
        </w:rPr>
        <w:t>If this item is checked, then the transferee must complete and execute the acknowledgment contained on the next page</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900" w:hanging="895"/>
        <w:spacing w:after="0" w:line="296" w:lineRule="auto"/>
        <w:tabs>
          <w:tab w:leader="none" w:pos="455" w:val="left"/>
        </w:tabs>
        <w:numPr>
          <w:ilvl w:val="0"/>
          <w:numId w:val="190"/>
        </w:numPr>
        <w:rPr>
          <w:rFonts w:ascii="Times New Roman" w:cs="Times New Roman" w:eastAsia="Times New Roman" w:hAnsi="Times New Roman"/>
          <w:sz w:val="17"/>
          <w:szCs w:val="17"/>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Such Transfer is being made pursuant to, and in accordance with, any other available exemption from the registration requirements of the Securities</w:t>
      </w:r>
      <w:r>
        <w:rPr>
          <w:rFonts w:ascii="Wingdings" w:cs="Wingdings" w:eastAsia="Wingdings" w:hAnsi="Wingdings"/>
          <w:sz w:val="17"/>
          <w:szCs w:val="17"/>
          <w:b w:val="1"/>
          <w:bCs w:val="1"/>
          <w:color w:val="auto"/>
        </w:rPr>
        <w:t xml:space="preserve"> </w:t>
      </w:r>
      <w:r>
        <w:rPr>
          <w:rFonts w:ascii="Times New Roman" w:cs="Times New Roman" w:eastAsia="Times New Roman" w:hAnsi="Times New Roman"/>
          <w:sz w:val="17"/>
          <w:szCs w:val="17"/>
          <w:color w:val="auto"/>
        </w:rPr>
        <w:t>Act (including, if available, the exemption provided by Rule 144 under the Securities Act).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3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-123190</wp:posOffset>
            </wp:positionV>
            <wp:extent cx="67792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9260" cy="8255"/>
                    </a:xfrm>
                    <a:prstGeom prst="rect">
                      <a:avLst/>
                    </a:prstGeom>
                    <a:noFill/>
                  </pic:spPr>
                </pic:pic>
              </a:graphicData>
            </a:graphic>
          </wp:anchor>
        </w:drawing>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-123190</wp:posOffset>
            </wp:positionV>
            <wp:extent cx="32067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7"/>
          <w:szCs w:val="17"/>
          <w:color w:val="auto"/>
        </w:rPr>
        <w:t>TRANSFEREE ACKNOWLEDGMENT</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3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-123190</wp:posOffset>
            </wp:positionV>
            <wp:extent cx="67792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9260" cy="8255"/>
                    </a:xfrm>
                    <a:prstGeom prst="rect">
                      <a:avLst/>
                    </a:prstGeom>
                    <a:noFill/>
                  </pic:spPr>
                </pic:pic>
              </a:graphicData>
            </a:graphic>
          </wp:anchor>
        </w:drawing>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-123190</wp:posOffset>
            </wp:positionV>
            <wp:extent cx="32067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RESTRICTED NOTE LEGEND</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67" w:lineRule="exact"/>
        <w:rPr>
          <w:sz w:val="20"/>
          <w:szCs w:val="20"/>
          <w:color w:val="auto"/>
        </w:rPr>
      </w:pPr>
    </w:p>
    <w:p>
      <w:pPr>
        <w:jc w:val="both"/>
        <w:ind w:left="640" w:hanging="635"/>
        <w:spacing w:after="0" w:line="276" w:lineRule="auto"/>
        <w:tabs>
          <w:tab w:leader="none" w:pos="64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62" w:lineRule="exact"/>
        <w:rPr>
          <w:rFonts w:ascii="Times New Roman" w:cs="Times New Roman" w:eastAsia="Times New Roman" w:hAnsi="Times New Roman"/>
          <w:sz w:val="17"/>
          <w:szCs w:val="17"/>
          <w:color w:val="auto"/>
        </w:rPr>
      </w:pPr>
    </w:p>
    <w:p>
      <w:pPr>
        <w:ind w:left="640" w:hanging="635"/>
        <w:spacing w:after="0" w:line="296" w:lineRule="auto"/>
        <w:tabs>
          <w:tab w:leader="none" w:pos="64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THE COMPANY THAT IT WILL NOT OFFER, SELL OR OTHERWISE TRANSFER THIS NOTE OR ANY BENEFICIAL INTEREST HEREIN, EXCEPT ONLY:</w:t>
      </w:r>
    </w:p>
    <w:p>
      <w:pPr>
        <w:spacing w:after="0" w:line="14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 OR ANY SUBSIDIARY THEREOF;</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REGISTRATION STATEMENT THAT IS EFFECTIVE UNDER THE SECURITIES ACT;</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QUALIFIED INSTITUTIONAL BUYER IN COMPLIANCE WITH RULE 144A UNDER THE SECURITIES ACT;</w:t>
      </w:r>
    </w:p>
    <w:p>
      <w:pPr>
        <w:spacing w:after="0" w:line="22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144 UNDER THE SECURITIES ACT; OR</w:t>
      </w:r>
    </w:p>
    <w:p>
      <w:pPr>
        <w:spacing w:after="0" w:line="223" w:lineRule="exact"/>
        <w:rPr>
          <w:rFonts w:ascii="Times New Roman" w:cs="Times New Roman" w:eastAsia="Times New Roman" w:hAnsi="Times New Roman"/>
          <w:sz w:val="17"/>
          <w:szCs w:val="17"/>
          <w:color w:val="auto"/>
        </w:rPr>
      </w:pPr>
    </w:p>
    <w:p>
      <w:pPr>
        <w:ind w:left="1260" w:hanging="627"/>
        <w:spacing w:after="0" w:line="296" w:lineRule="auto"/>
        <w:tabs>
          <w:tab w:leader="none" w:pos="126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ANY OTHER EXEMPTION FROM, OR IN A TRANSACTION NOT SUBJECT TO, THE REGISTRATION REQUIREMENTS OF THE SECURITIES ACT.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BEFORE THE REGISTRATION OF ANY SALE OR TRANSFER IN ACCORDANCE WITH (2)(C), (D)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GLOBAL NOTE LEGEND</w:t>
      </w:r>
    </w:p>
    <w:p>
      <w:pPr>
        <w:spacing w:after="0" w:line="2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B-3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NON-AFFILIATE LEGEND</w:t>
      </w:r>
    </w:p>
    <w:p>
      <w:pPr>
        <w:spacing w:after="0" w:line="22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NO AFFILIATE (AS DEFINED IN RULE 144 UNDER THE SECURITIES ACT OF 1933, AS AMENDED) OF THE COMPANY MAY PURCHASE OR OTHERWISE ACQUIRE THIS NOTE OR ANY BENEFICIAL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SUPPLEMENTAL INDENTURE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DELIVERED BY SUBSEQUENT GUARANTORS]</w:t>
      </w:r>
    </w:p>
    <w:p>
      <w:pPr>
        <w:spacing w:after="0" w:line="205" w:lineRule="exact"/>
        <w:rPr>
          <w:sz w:val="20"/>
          <w:szCs w:val="20"/>
          <w:color w:val="auto"/>
        </w:rPr>
      </w:pPr>
    </w:p>
    <w:p>
      <w:pPr>
        <w:ind w:left="640"/>
        <w:spacing w:after="0"/>
        <w:tabs>
          <w:tab w:leader="none" w:pos="1200" w:val="left"/>
          <w:tab w:leader="none" w:pos="73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 SUPPLEMENTAL INDENTURE (this “</w:t>
      </w:r>
      <w:r>
        <w:rPr>
          <w:rFonts w:ascii="Times New Roman" w:cs="Times New Roman" w:eastAsia="Times New Roman" w:hAnsi="Times New Roman"/>
          <w:sz w:val="17"/>
          <w:szCs w:val="17"/>
          <w:u w:val="single" w:color="auto"/>
          <w:color w:val="auto"/>
        </w:rPr>
        <w:t>Supplemental Indenture</w:t>
      </w:r>
      <w:r>
        <w:rPr>
          <w:rFonts w:ascii="Times New Roman" w:cs="Times New Roman" w:eastAsia="Times New Roman" w:hAnsi="Times New Roman"/>
          <w:sz w:val="17"/>
          <w:szCs w:val="17"/>
          <w:color w:val="auto"/>
        </w:rPr>
        <w:t>”), dated as of [</w:t>
      </w:r>
      <w:r>
        <w:rPr>
          <w:sz w:val="20"/>
          <w:szCs w:val="20"/>
          <w:color w:val="auto"/>
        </w:rPr>
        <w:tab/>
      </w:r>
      <w:r>
        <w:rPr>
          <w:rFonts w:ascii="Times New Roman" w:cs="Times New Roman" w:eastAsia="Times New Roman" w:hAnsi="Times New Roman"/>
          <w:sz w:val="17"/>
          <w:szCs w:val="17"/>
          <w:color w:val="auto"/>
        </w:rPr>
        <w:t>], by and among the signatories hereto, as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-3810</wp:posOffset>
            </wp:positionV>
            <wp:extent cx="3378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7820" cy="8255"/>
                    </a:xfrm>
                    <a:prstGeom prst="rect">
                      <a:avLst/>
                    </a:prstGeom>
                    <a:noFill/>
                  </pic:spPr>
                </pic:pic>
              </a:graphicData>
            </a:graphic>
          </wp:anchor>
        </w:drawing>
      </w:r>
    </w:p>
    <w:p>
      <w:pPr>
        <w:spacing w:after="0" w:line="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a] [the] “</w:t>
      </w:r>
      <w:r>
        <w:rPr>
          <w:rFonts w:ascii="Times New Roman" w:cs="Times New Roman" w:eastAsia="Times New Roman" w:hAnsi="Times New Roman"/>
          <w:sz w:val="17"/>
          <w:szCs w:val="17"/>
          <w:u w:val="single" w:color="auto"/>
          <w:color w:val="auto"/>
        </w:rPr>
        <w:t>Guaranteeing Subsidiary</w:t>
      </w:r>
      <w:r>
        <w:rPr>
          <w:rFonts w:ascii="Times New Roman" w:cs="Times New Roman" w:eastAsia="Times New Roman" w:hAnsi="Times New Roman"/>
          <w:sz w:val="17"/>
          <w:szCs w:val="17"/>
          <w:color w:val="auto"/>
        </w:rPr>
        <w:t>”), U.S. Bank Trust Company, National Association, as trustee (in such capacity,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and as collateral agent (in such capacity, the “</w:t>
      </w:r>
      <w:r>
        <w:rPr>
          <w:rFonts w:ascii="Times New Roman" w:cs="Times New Roman" w:eastAsia="Times New Roman" w:hAnsi="Times New Roman"/>
          <w:sz w:val="17"/>
          <w:szCs w:val="17"/>
          <w:u w:val="single" w:color="auto"/>
          <w:color w:val="auto"/>
        </w:rPr>
        <w:t>Collateral Agent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 I T N E S S E T H</w:t>
      </w:r>
    </w:p>
    <w:p>
      <w:pPr>
        <w:spacing w:after="0" w:line="223"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WHEREAS, The Beauty Health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the Trustee and the Collateral Agent have heretofore executed and delivered an indenture dated as of [•], 2025 (as amended, supplemented, waived or otherwise modified,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providing for the issuance of an aggregate principal amount of $[•] of 7.95% Convertible Senior Secured Notes due 2028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of the Company;</w:t>
      </w:r>
    </w:p>
    <w:p>
      <w:pPr>
        <w:spacing w:after="0" w:line="163" w:lineRule="exact"/>
        <w:rPr>
          <w:sz w:val="20"/>
          <w:szCs w:val="20"/>
          <w:color w:val="auto"/>
        </w:rPr>
      </w:pPr>
    </w:p>
    <w:p>
      <w:pPr>
        <w:jc w:val="both"/>
        <w:ind w:firstLine="628"/>
        <w:spacing w:after="0" w:line="276" w:lineRule="auto"/>
        <w:rPr>
          <w:sz w:val="20"/>
          <w:szCs w:val="20"/>
          <w:color w:val="auto"/>
        </w:rPr>
      </w:pPr>
      <w:r>
        <w:rPr>
          <w:rFonts w:ascii="Times New Roman" w:cs="Times New Roman" w:eastAsia="Times New Roman" w:hAnsi="Times New Roman"/>
          <w:sz w:val="17"/>
          <w:szCs w:val="17"/>
          <w:color w:val="auto"/>
        </w:rPr>
        <w:t>WHEREAS, the Indenture provides that [the] [each] Guaranteeing Subsidiary shall execute and deliver to the Trustee a supplemental indenture pursuant to which [each] such Guaranteeing Subsidiary shall unconditionally guarantee, on a joint and several basis with the other Guarantors, all of the Company’s Note Obligations on the terms and conditions set forth herein and under the Indenture (the “</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and</w:t>
      </w:r>
    </w:p>
    <w:p>
      <w:pPr>
        <w:spacing w:after="0" w:line="163"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WHEREAS, pursuant to Section 8.01 of the Indenture, the Trustee and the Collateral Agent are authorized to execute and deliver this Supplemental Indenture to amend or supplement the Indenture without the consent of any Holder.</w:t>
      </w:r>
    </w:p>
    <w:p>
      <w:pPr>
        <w:spacing w:after="0" w:line="146"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46" w:lineRule="exact"/>
        <w:rPr>
          <w:sz w:val="20"/>
          <w:szCs w:val="20"/>
          <w:color w:val="auto"/>
        </w:rPr>
      </w:pPr>
    </w:p>
    <w:p>
      <w:pPr>
        <w:ind w:left="1260" w:hanging="627"/>
        <w:spacing w:after="0"/>
        <w:tabs>
          <w:tab w:leader="none" w:pos="126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Capitalized Terms</w:t>
      </w:r>
      <w:r>
        <w:rPr>
          <w:rFonts w:ascii="Times New Roman" w:cs="Times New Roman" w:eastAsia="Times New Roman" w:hAnsi="Times New Roman"/>
          <w:sz w:val="17"/>
          <w:szCs w:val="17"/>
          <w:color w:val="auto"/>
        </w:rPr>
        <w:t>. Capitalized terms used herein without definition shall have the meanings assigned to such terms in the Indenture.</w:t>
      </w:r>
    </w:p>
    <w:p>
      <w:pPr>
        <w:spacing w:after="0" w:line="223"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to Guarantee</w:t>
      </w:r>
      <w:r>
        <w:rPr>
          <w:rFonts w:ascii="Times New Roman" w:cs="Times New Roman" w:eastAsia="Times New Roman" w:hAnsi="Times New Roman"/>
          <w:sz w:val="17"/>
          <w:szCs w:val="17"/>
          <w:color w:val="auto"/>
        </w:rPr>
        <w:t>. [Each] [The] Guaranteeing Subsidiary hereby agrees to be a Guarantor, and hereby becomes a Guarantor, under the Indenture and to be bound by the terms of the Indenture applicable to a Guarantor, including Article 11 thereof.</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Execution and Delivery</w:t>
      </w:r>
      <w:r>
        <w:rPr>
          <w:rFonts w:ascii="Times New Roman" w:cs="Times New Roman" w:eastAsia="Times New Roman" w:hAnsi="Times New Roman"/>
          <w:sz w:val="17"/>
          <w:szCs w:val="17"/>
          <w:color w:val="auto"/>
        </w:rPr>
        <w:t>. [Each] [The] Guaranteeing Subsidiary agrees that the Guarantee shall remain in full force and effect notwithstanding the absence of the endorsement of any notation of such Guarantee on the Notes.</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SUPPLEMENTAL INDENTURE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4" w:name="page165"/>
    <w:bookmarkEnd w:id="164"/>
    <w:p>
      <w:pPr>
        <w:jc w:val="both"/>
        <w:ind w:left="-20" w:firstLine="633"/>
        <w:spacing w:after="0" w:line="260" w:lineRule="auto"/>
        <w:tabs>
          <w:tab w:leader="none" w:pos="1236"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Supplemental Indenture for all purposes. Signatures of the parties hereto transmitted by facsimile, PDF or other electronic transmission shall be deemed to be their original signatures for all purposes. The words “execution,” “signed,” “signature,” “delivery,” and words of like import in or relating to this Supplemental Indenture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herein to the contrary, neither the Trustee nor the Collateral Agent is under any obligation to agree to accept electronic signatures in any form or in any format unless expressly agreed to by the Trustee or the Collateral Agent pursuant to reasonable procedures approved by the Trustee or the Collateral Agent, as applicable. As used herein, “Electronic Signature” means an electronic sound, symbol, or process attached to, or associated with, a contract or other record and adopted by a Person with the intent to sign, authenticate or accept such contract or other record.</w:t>
      </w:r>
    </w:p>
    <w:p>
      <w:pPr>
        <w:spacing w:after="0" w:line="177"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Headings</w:t>
      </w:r>
      <w:r>
        <w:rPr>
          <w:rFonts w:ascii="Times New Roman" w:cs="Times New Roman" w:eastAsia="Times New Roman" w:hAnsi="Times New Roman"/>
          <w:sz w:val="17"/>
          <w:szCs w:val="17"/>
          <w:color w:val="auto"/>
        </w:rPr>
        <w:t>. The Section headings herein are for convenience only and shall not affect the construction hereof.</w:t>
      </w:r>
    </w:p>
    <w:p>
      <w:pPr>
        <w:spacing w:after="0" w:line="223" w:lineRule="exact"/>
        <w:rPr>
          <w:rFonts w:ascii="Times New Roman" w:cs="Times New Roman" w:eastAsia="Times New Roman" w:hAnsi="Times New Roman"/>
          <w:sz w:val="17"/>
          <w:szCs w:val="17"/>
          <w:color w:val="auto"/>
        </w:rPr>
      </w:pPr>
    </w:p>
    <w:p>
      <w:pPr>
        <w:jc w:val="both"/>
        <w:ind w:left="-20" w:firstLine="633"/>
        <w:spacing w:after="0" w:line="276" w:lineRule="auto"/>
        <w:tabs>
          <w:tab w:leader="none" w:pos="1236"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Trustee</w:t>
      </w:r>
      <w:r>
        <w:rPr>
          <w:rFonts w:ascii="Times New Roman" w:cs="Times New Roman" w:eastAsia="Times New Roman" w:hAnsi="Times New Roman"/>
          <w:sz w:val="17"/>
          <w:szCs w:val="17"/>
          <w:color w:val="auto"/>
        </w:rPr>
        <w:t>. The Trustee and the Collateral Agent shall not be responsible in any manner whatsoever for or in respect of the validity, sufficiency or adequacy of this Supplemental Indenture or for or in respect of the statements or recitals contained herein, all of which recitals are made solely by [each] [the]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71367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77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Supplemental Indenture to be duly executed, all as of the date first above written.</w:t>
      </w:r>
    </w:p>
    <w:p>
      <w:pPr>
        <w:spacing w:after="0" w:line="2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[GUARANTEEING SUBSIDIARY]</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-123190</wp:posOffset>
            </wp:positionV>
            <wp:extent cx="32067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4" w:lineRule="exact"/>
        <w:rPr>
          <w:sz w:val="20"/>
          <w:szCs w:val="20"/>
          <w:color w:val="auto"/>
        </w:rPr>
      </w:pPr>
    </w:p>
    <w:p>
      <w:pPr>
        <w:ind w:left="5000"/>
        <w:spacing w:after="0" w:line="296" w:lineRule="auto"/>
        <w:rPr>
          <w:sz w:val="20"/>
          <w:szCs w:val="20"/>
          <w:color w:val="auto"/>
        </w:rPr>
      </w:pPr>
      <w:r>
        <w:rPr>
          <w:rFonts w:ascii="Times New Roman" w:cs="Times New Roman" w:eastAsia="Times New Roman" w:hAnsi="Times New Roman"/>
          <w:sz w:val="17"/>
          <w:szCs w:val="17"/>
          <w:color w:val="auto"/>
        </w:rPr>
        <w:t>U.S. Bank Trust Company, National Association, as Trustee and Collateral Agent</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-123190</wp:posOffset>
            </wp:positionV>
            <wp:extent cx="32067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200"/>
          </w:cols>
          <w:pgMar w:left="960" w:top="775" w:right="7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INTERCOMPANY SUBORDINATION AGREEMENT]</w:t>
      </w:r>
    </w:p>
    <w:p>
      <w:pPr>
        <w:spacing w:after="0" w:line="219" w:lineRule="exact"/>
        <w:rPr>
          <w:sz w:val="20"/>
          <w:szCs w:val="20"/>
          <w:color w:val="auto"/>
        </w:rPr>
      </w:pPr>
    </w:p>
    <w:p>
      <w:pPr>
        <w:jc w:val="both"/>
        <w:ind w:firstLine="628"/>
        <w:spacing w:after="0" w:line="268" w:lineRule="auto"/>
        <w:rPr>
          <w:sz w:val="20"/>
          <w:szCs w:val="20"/>
          <w:color w:val="auto"/>
        </w:rPr>
      </w:pPr>
      <w:r>
        <w:rPr>
          <w:rFonts w:ascii="Times New Roman" w:cs="Times New Roman" w:eastAsia="Times New Roman" w:hAnsi="Times New Roman"/>
          <w:sz w:val="17"/>
          <w:szCs w:val="17"/>
          <w:color w:val="auto"/>
        </w:rPr>
        <w:t>This INTERCOMPANY SUBORDINATION AGREEMENT, dated as of [•] (this “</w:t>
      </w:r>
      <w:r>
        <w:rPr>
          <w:rFonts w:ascii="Times New Roman" w:cs="Times New Roman" w:eastAsia="Times New Roman" w:hAnsi="Times New Roman"/>
          <w:sz w:val="17"/>
          <w:szCs w:val="17"/>
          <w:b w:val="1"/>
          <w:bCs w:val="1"/>
          <w:i w:val="1"/>
          <w:iCs w:val="1"/>
          <w:color w:val="auto"/>
        </w:rPr>
        <w:t>Subordination Agreement</w:t>
      </w:r>
      <w:r>
        <w:rPr>
          <w:rFonts w:ascii="Times New Roman" w:cs="Times New Roman" w:eastAsia="Times New Roman" w:hAnsi="Times New Roman"/>
          <w:sz w:val="17"/>
          <w:szCs w:val="17"/>
          <w:color w:val="auto"/>
        </w:rPr>
        <w:t>”), is entered into by and among The Beauty Health Company,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certain Subsidiaries of the Company that are parties hereto, and certain other Subsidiaries of the Company that may, from time to time in the future, become parties hereto by executing and delivering a joinder agreement in substantially the form of </w:t>
      </w:r>
      <w:r>
        <w:rPr>
          <w:rFonts w:ascii="Times New Roman" w:cs="Times New Roman" w:eastAsia="Times New Roman" w:hAnsi="Times New Roman"/>
          <w:sz w:val="17"/>
          <w:szCs w:val="17"/>
          <w:b w:val="1"/>
          <w:bCs w:val="1"/>
          <w:color w:val="auto"/>
        </w:rPr>
        <w:t xml:space="preserve">Exhibit A </w:t>
      </w:r>
      <w:r>
        <w:rPr>
          <w:rFonts w:ascii="Times New Roman" w:cs="Times New Roman" w:eastAsia="Times New Roman" w:hAnsi="Times New Roman"/>
          <w:sz w:val="17"/>
          <w:szCs w:val="17"/>
          <w:color w:val="auto"/>
        </w:rPr>
        <w:t>hereto (any such Subsidiary being herein, individually, a “</w:t>
      </w:r>
      <w:r>
        <w:rPr>
          <w:rFonts w:ascii="Times New Roman" w:cs="Times New Roman" w:eastAsia="Times New Roman" w:hAnsi="Times New Roman"/>
          <w:sz w:val="17"/>
          <w:szCs w:val="17"/>
          <w:b w:val="1"/>
          <w:bCs w:val="1"/>
          <w:i w:val="1"/>
          <w:iCs w:val="1"/>
          <w:color w:val="auto"/>
        </w:rPr>
        <w:t>Subsidiary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Subsidiary Parties</w:t>
      </w:r>
      <w:r>
        <w:rPr>
          <w:rFonts w:ascii="Times New Roman" w:cs="Times New Roman" w:eastAsia="Times New Roman" w:hAnsi="Times New Roman"/>
          <w:sz w:val="17"/>
          <w:szCs w:val="17"/>
          <w:color w:val="auto"/>
        </w:rPr>
        <w:t>”) and U.S. BANK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NATIONAL ASSOCIATION, as collateral agent (in such capacity, the “</w:t>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28"/>
        <w:spacing w:after="0" w:line="270" w:lineRule="auto"/>
        <w:rPr>
          <w:sz w:val="20"/>
          <w:szCs w:val="20"/>
          <w:color w:val="auto"/>
        </w:rPr>
      </w:pPr>
      <w:r>
        <w:rPr>
          <w:rFonts w:ascii="Times New Roman" w:cs="Times New Roman" w:eastAsia="Times New Roman" w:hAnsi="Times New Roman"/>
          <w:sz w:val="17"/>
          <w:szCs w:val="17"/>
          <w:color w:val="auto"/>
        </w:rPr>
        <w:t>Reference is made to that certain Indenture, dated as of [•] (as amended, restated, modified, supplemented or otherwise changed from time to time,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among the Company, certain Guarantors from time to time party thereto, U.S. BANK TRUST COMPANY, NATIONAL ASSOCIATION, in its capacity as trustee (in such capacity,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and the Collateral Agent. Capitalized terms used herein and not otherwise defined herein are used herein as defined in the Indenture.</w:t>
      </w:r>
    </w:p>
    <w:p>
      <w:pPr>
        <w:spacing w:after="0" w:line="167" w:lineRule="exact"/>
        <w:rPr>
          <w:sz w:val="20"/>
          <w:szCs w:val="20"/>
          <w:color w:val="auto"/>
        </w:rPr>
      </w:pPr>
    </w:p>
    <w:p>
      <w:pPr>
        <w:jc w:val="both"/>
        <w:ind w:firstLine="628"/>
        <w:spacing w:after="0" w:line="261" w:lineRule="auto"/>
        <w:rPr>
          <w:sz w:val="20"/>
          <w:szCs w:val="20"/>
          <w:color w:val="auto"/>
        </w:rPr>
      </w:pPr>
      <w:r>
        <w:rPr>
          <w:rFonts w:ascii="Times New Roman" w:cs="Times New Roman" w:eastAsia="Times New Roman" w:hAnsi="Times New Roman"/>
          <w:sz w:val="17"/>
          <w:szCs w:val="17"/>
          <w:color w:val="auto"/>
        </w:rPr>
        <w:t>One or more of the Company and its Subsidiaries in its capacity as lender (each such entity, together with its successors, assigns and transferees in such capacity, individually, a “</w:t>
      </w:r>
      <w:r>
        <w:rPr>
          <w:rFonts w:ascii="Times New Roman" w:cs="Times New Roman" w:eastAsia="Times New Roman" w:hAnsi="Times New Roman"/>
          <w:sz w:val="17"/>
          <w:szCs w:val="17"/>
          <w:b w:val="1"/>
          <w:bCs w:val="1"/>
          <w:i w:val="1"/>
          <w:iCs w:val="1"/>
          <w:color w:val="auto"/>
        </w:rPr>
        <w:t>Junior Creditor</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b w:val="1"/>
          <w:bCs w:val="1"/>
          <w:i w:val="1"/>
          <w:iCs w:val="1"/>
          <w:color w:val="auto"/>
        </w:rPr>
        <w:t>Junior Creditors</w:t>
      </w:r>
      <w:r>
        <w:rPr>
          <w:rFonts w:ascii="Times New Roman" w:cs="Times New Roman" w:eastAsia="Times New Roman" w:hAnsi="Times New Roman"/>
          <w:sz w:val="17"/>
          <w:szCs w:val="17"/>
          <w:color w:val="auto"/>
        </w:rPr>
        <w:t>”) has made, or may from time to time may make, loans or advances to one or more of the Company and/or Subsidiary Parties that is a Note Party (each such Person, in its capacity as a borrower from any Junior Creditor (together with its successors, assigns and transferees) being herein, individually, a “</w:t>
      </w:r>
      <w:r>
        <w:rPr>
          <w:rFonts w:ascii="Times New Roman" w:cs="Times New Roman" w:eastAsia="Times New Roman" w:hAnsi="Times New Roman"/>
          <w:sz w:val="17"/>
          <w:szCs w:val="17"/>
          <w:b w:val="1"/>
          <w:bCs w:val="1"/>
          <w:i w:val="1"/>
          <w:iCs w:val="1"/>
          <w:color w:val="auto"/>
        </w:rPr>
        <w:t>Debtor Obligor</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b w:val="1"/>
          <w:bCs w:val="1"/>
          <w:i w:val="1"/>
          <w:iCs w:val="1"/>
          <w:color w:val="auto"/>
        </w:rPr>
        <w:t>Debtor Obligors</w:t>
      </w:r>
      <w:r>
        <w:rPr>
          <w:rFonts w:ascii="Times New Roman" w:cs="Times New Roman" w:eastAsia="Times New Roman" w:hAnsi="Times New Roman"/>
          <w:sz w:val="17"/>
          <w:szCs w:val="17"/>
          <w:color w:val="auto"/>
        </w:rPr>
        <w:t>”), including pursuant to Section 3.08(C) of the Indenture. All such Indebtedness (other than any Indebtedness between any Debtor Obligor that constitutes an Immaterial Subsidiary that is owed to any Junior Creditor that constitutes an Immaterial Subsidiary) resulting from the making of any such loan or advance together with all principal, interest, fees, premiums, costs, expenses, liabilities, obligations and other amounts of any type or nature at any time owing or arising in respect thereof, including but not limited to any such items or amounts as may accrue or be incurred before or after default or workout or the commencement of any liquidation, dissolution, bankruptcy, receivership, or reorganization case by or against the Company are herein collectively referred to as the “</w:t>
      </w:r>
      <w:r>
        <w:rPr>
          <w:rFonts w:ascii="Times New Roman" w:cs="Times New Roman" w:eastAsia="Times New Roman" w:hAnsi="Times New Roman"/>
          <w:sz w:val="17"/>
          <w:szCs w:val="17"/>
          <w:b w:val="1"/>
          <w:bCs w:val="1"/>
          <w:i w:val="1"/>
          <w:iCs w:val="1"/>
          <w:color w:val="auto"/>
        </w:rPr>
        <w:t>Junior Obligations</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firstLine="628"/>
        <w:spacing w:after="0" w:line="296" w:lineRule="auto"/>
        <w:rPr>
          <w:sz w:val="20"/>
          <w:szCs w:val="20"/>
          <w:color w:val="auto"/>
        </w:rPr>
      </w:pPr>
      <w:r>
        <w:rPr>
          <w:rFonts w:ascii="Times New Roman" w:cs="Times New Roman" w:eastAsia="Times New Roman" w:hAnsi="Times New Roman"/>
          <w:sz w:val="17"/>
          <w:szCs w:val="17"/>
          <w:color w:val="auto"/>
        </w:rPr>
        <w:t>The Company and its Subsidiaries, for the benefit of the Secured Parties and each of their permitted successors, transferees and assigns, hereby irrevocably and unconditionally agrees as follows:</w:t>
      </w:r>
    </w:p>
    <w:p>
      <w:pPr>
        <w:spacing w:after="0" w:line="146" w:lineRule="exact"/>
        <w:rPr>
          <w:sz w:val="20"/>
          <w:szCs w:val="20"/>
          <w:color w:val="auto"/>
        </w:rPr>
      </w:pPr>
    </w:p>
    <w:p>
      <w:pPr>
        <w:jc w:val="both"/>
        <w:ind w:firstLine="633"/>
        <w:spacing w:after="0" w:line="264" w:lineRule="auto"/>
        <w:tabs>
          <w:tab w:leader="none" w:pos="1256"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 obligations and other monetary obligations of any Debtor Obligor arising from time to time under or in connection with any Junior Obligations to any Junior Creditor are, and shall at all times be, subordinated in right of payment and performance to the prior Payment in Full (within the meaning ascribed to such term in Section 1.03 of the Indenture) of all Note Obligations, whether in respect of principal, interest, fees or other monetary obligations or liabilities of any type or nature, including costs and expenses of enforcement, if any (collectively, the “</w:t>
      </w:r>
      <w:r>
        <w:rPr>
          <w:rFonts w:ascii="Times New Roman" w:cs="Times New Roman" w:eastAsia="Times New Roman" w:hAnsi="Times New Roman"/>
          <w:sz w:val="17"/>
          <w:szCs w:val="17"/>
          <w:b w:val="1"/>
          <w:bCs w:val="1"/>
          <w:i w:val="1"/>
          <w:iCs w:val="1"/>
          <w:color w:val="auto"/>
        </w:rPr>
        <w:t>Senior Obligations</w:t>
      </w:r>
      <w:r>
        <w:rPr>
          <w:rFonts w:ascii="Times New Roman" w:cs="Times New Roman" w:eastAsia="Times New Roman" w:hAnsi="Times New Roman"/>
          <w:sz w:val="17"/>
          <w:szCs w:val="17"/>
          <w:color w:val="auto"/>
        </w:rPr>
        <w:t>”), notwithstanding the maturity date or amortization date of any Junior Obligations or any acceleration of the maturity date related thereto, any default by or insolvency of any Debtor Obligor or any other Person, or otherwise.</w:t>
      </w:r>
    </w:p>
    <w:p>
      <w:pPr>
        <w:spacing w:after="0" w:line="175"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Subordination Agreement is for the benefit of, and shall be enforceable by the Collateral Agent on behalf of the Secured Parties.</w:t>
      </w:r>
    </w:p>
    <w:p>
      <w:pPr>
        <w:spacing w:after="0" w:line="223" w:lineRule="exact"/>
        <w:rPr>
          <w:rFonts w:ascii="Times New Roman" w:cs="Times New Roman" w:eastAsia="Times New Roman" w:hAnsi="Times New Roman"/>
          <w:sz w:val="17"/>
          <w:szCs w:val="17"/>
          <w:color w:val="auto"/>
        </w:rPr>
      </w:pPr>
    </w:p>
    <w:p>
      <w:pPr>
        <w:jc w:val="both"/>
        <w:ind w:firstLine="633"/>
        <w:spacing w:after="0" w:line="260" w:lineRule="auto"/>
        <w:tabs>
          <w:tab w:leader="none" w:pos="1256"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would result therefrom or has occurred and is continuing and after notice from the Collateral Agent to each Junior Creditor (provided that no such notice shall be required to be given in the case of any Event of Default arising under Sections 7.01(A)(ix) and (x) of the Indenture), each Debtor Obligor may make, and each Junior Creditor shall be entitled to accept and receive, payments on account of the Junior Obligations in the ordinary course of business. At all times from and after the occurrence of any Event of Default and after notice from the Collateral Agent to each Junior Creditor (provided that no such notice shall be required to be given in the case of any Event of Default arising under Sections 7.01(A)(ix) and (x) of the Indenture) and for so long as such Event of Default continues or until Payment in Full of all Senior Obligations and termination of all Senior Liens (as defined below), (i) no Debtor Obligor shall make, and no Junior Creditor shall accept, receive or collect from or on behalf of any Debtor Obligor, any direct or indirect payment or distribution of any kind or character whatsoever (whether in cash, securities, other property, by set-off, forgiveness of any Indebtedness of any Secured Party, or otherwise) on account of any of the Junior Obligations, and (ii) under no circumstance shall any other remedy, enforcement action or other action be taken by any Junior Creditor against any Debtor Obligor or any property of any Debtor Obligor or of any other Person, in each case with respect to any of the Junior Obligations (including to assert, enforce or collect any of the Junior Obligations), in each case, without the prior written consent of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7" w:name="page168"/>
    <w:bookmarkEnd w:id="167"/>
    <w:p>
      <w:pPr>
        <w:jc w:val="both"/>
        <w:ind w:firstLine="633"/>
        <w:spacing w:after="0" w:line="266" w:lineRule="auto"/>
        <w:tabs>
          <w:tab w:leader="none" w:pos="125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Junior Creditor shall, directly or indirectly, independently or with any other Person, take any action that would be in violation of, or inconsistent with, or result in a breach of this Subordination Agreement or challenge or contest (i) the validity, perfection, priority or enforceability of this Subordination Agreement, any Senior Obligations or any Liens securing the Senior Obligations (“</w:t>
      </w:r>
      <w:r>
        <w:rPr>
          <w:rFonts w:ascii="Times New Roman" w:cs="Times New Roman" w:eastAsia="Times New Roman" w:hAnsi="Times New Roman"/>
          <w:sz w:val="17"/>
          <w:szCs w:val="17"/>
          <w:b w:val="1"/>
          <w:bCs w:val="1"/>
          <w:i w:val="1"/>
          <w:iCs w:val="1"/>
          <w:color w:val="auto"/>
        </w:rPr>
        <w:t>Senior Liens</w:t>
      </w:r>
      <w:r>
        <w:rPr>
          <w:rFonts w:ascii="Times New Roman" w:cs="Times New Roman" w:eastAsia="Times New Roman" w:hAnsi="Times New Roman"/>
          <w:sz w:val="17"/>
          <w:szCs w:val="17"/>
          <w:color w:val="auto"/>
        </w:rPr>
        <w:t>”), (ii) any of the rights of any Secured Party set forth in the Indenture or any other Note Document (including with respect to the Senior Liens), or (iii) the validity or enforceability of the Indenture or any other Note Document or any portion thereof.</w:t>
      </w:r>
    </w:p>
    <w:p>
      <w:pPr>
        <w:spacing w:after="0" w:line="172" w:lineRule="exact"/>
        <w:rPr>
          <w:rFonts w:ascii="Times New Roman" w:cs="Times New Roman" w:eastAsia="Times New Roman" w:hAnsi="Times New Roman"/>
          <w:sz w:val="17"/>
          <w:szCs w:val="17"/>
          <w:color w:val="auto"/>
        </w:rPr>
      </w:pPr>
    </w:p>
    <w:p>
      <w:pPr>
        <w:jc w:val="both"/>
        <w:ind w:firstLine="633"/>
        <w:spacing w:after="0" w:line="264" w:lineRule="auto"/>
        <w:tabs>
          <w:tab w:leader="none" w:pos="125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prior to Payment in Full of the Senior Obligations, any Junior Creditor shall receive any payment or distribution of any kind or character whatsoever (whether in cash, securities, other property, by set-off, forgiveness of any Indebtedness of any Secured Party, or otherwise) on or in respect of all or any portion of the Junior Obligations in violation of any of the provisions of this Subordination Agreement, then such payment or distribution shall be held in trust by such Junior Creditor for the benefit of, and promptly paid over by such Junior Creditor to the Collateral Agent for application of such payment or distribution to repay the Obligations in accordance with the terms thereof, until Payment in Full of the Obligations as confirmed in writing by the Collateral Agent to the Company.</w:t>
      </w:r>
    </w:p>
    <w:p>
      <w:pPr>
        <w:spacing w:after="0" w:line="175"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Party that is a guarantor of any permitted Indebtedness in accordance with the Indenture of any Note Party hereby agrees that any subrogation claims it may acquire as a result of any payment or distribution under such permitted Indebtedness shall be subordinated to the Note Obligations until the Payment in Full of the Note Obligations.</w:t>
      </w:r>
    </w:p>
    <w:p>
      <w:pPr>
        <w:spacing w:after="0" w:line="162"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any Junior Creditor nor any Debtor Obligor may assign or transfer any of its rights or obligations hereunder, except to an assignee or transferee that becomes bound by the terms of this Subordination Agreement in a manner reasonably satisfactory to the Collateral Agent.</w:t>
      </w:r>
    </w:p>
    <w:p>
      <w:pPr>
        <w:spacing w:after="0" w:line="145" w:lineRule="exact"/>
        <w:rPr>
          <w:rFonts w:ascii="Times New Roman" w:cs="Times New Roman" w:eastAsia="Times New Roman" w:hAnsi="Times New Roman"/>
          <w:sz w:val="17"/>
          <w:szCs w:val="17"/>
          <w:color w:val="auto"/>
        </w:rPr>
      </w:pPr>
    </w:p>
    <w:p>
      <w:pPr>
        <w:ind w:firstLine="633"/>
        <w:spacing w:after="0" w:line="296" w:lineRule="auto"/>
        <w:tabs>
          <w:tab w:leader="none" w:pos="125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Subordination Agreement may be executed in any number of counterparts, all of which taken together shall constitute one and the same instrument and any of the parties hereto may execute this Subordination Agreement by signing any such counterpart.</w:t>
      </w:r>
    </w:p>
    <w:p>
      <w:pPr>
        <w:spacing w:after="0" w:line="145"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Subordination Agreement and the rights and obligations of the parties hereunder shall be governed by, and construed in accordance with, the law of the State of New York, without regard to principles of conflicts of laws that would result in the application of the laws of any other jurisdiction; provided that Section 5-1401 of the New York General Obligations Law shall apply.</w:t>
      </w:r>
    </w:p>
    <w:p>
      <w:pPr>
        <w:sectPr>
          <w:pgSz w:w="11900" w:h="16838" w:orient="portrait"/>
          <w:cols w:equalWidth="0" w:num="1">
            <w:col w:w="11240"/>
          </w:cols>
          <w:pgMar w:left="320" w:top="775" w:right="339" w:bottom="1440" w:gutter="0" w:footer="0" w:header="0"/>
        </w:sectPr>
      </w:pPr>
    </w:p>
    <w:p>
      <w:pPr>
        <w:spacing w:after="0" w:line="163" w:lineRule="exact"/>
        <w:rPr>
          <w:sz w:val="20"/>
          <w:szCs w:val="20"/>
          <w:color w:val="auto"/>
        </w:rPr>
      </w:pPr>
    </w:p>
    <w:p>
      <w:pPr>
        <w:jc w:val="both"/>
        <w:ind w:firstLine="633"/>
        <w:spacing w:after="0" w:line="296" w:lineRule="auto"/>
        <w:tabs>
          <w:tab w:leader="none" w:pos="1256"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Subsidiary of the Company may, without the consent of any other party to this Agreement, become Agreement by executing and delivering to the Collateral Agent a Subordination Agreement Joinder in substantially the form of</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firstLine="2"/>
        <w:spacing w:after="0" w:line="296" w:lineRule="auto"/>
        <w:rPr>
          <w:sz w:val="20"/>
          <w:szCs w:val="20"/>
          <w:color w:val="auto"/>
        </w:rPr>
      </w:pPr>
      <w:r>
        <w:rPr>
          <w:rFonts w:ascii="Times New Roman" w:cs="Times New Roman" w:eastAsia="Times New Roman" w:hAnsi="Times New Roman"/>
          <w:sz w:val="17"/>
          <w:szCs w:val="17"/>
          <w:color w:val="auto"/>
        </w:rPr>
        <w:t xml:space="preserve">a party under this Subordination </w:t>
      </w:r>
      <w:r>
        <w:rPr>
          <w:rFonts w:ascii="Times New Roman" w:cs="Times New Roman" w:eastAsia="Times New Roman" w:hAnsi="Times New Roman"/>
          <w:sz w:val="17"/>
          <w:szCs w:val="17"/>
          <w:b w:val="1"/>
          <w:bCs w:val="1"/>
          <w:color w:val="auto"/>
        </w:rPr>
        <w:t xml:space="preserve">Exhibit A </w:t>
      </w:r>
      <w:r>
        <w:rPr>
          <w:rFonts w:ascii="Times New Roman" w:cs="Times New Roman" w:eastAsia="Times New Roman" w:hAnsi="Times New Roman"/>
          <w:sz w:val="17"/>
          <w:szCs w:val="17"/>
          <w:color w:val="auto"/>
        </w:rPr>
        <w:t>hereto.</w:t>
      </w:r>
    </w:p>
    <w:p>
      <w:pPr>
        <w:spacing w:after="0" w:line="144" w:lineRule="exact"/>
        <w:rPr>
          <w:sz w:val="20"/>
          <w:szCs w:val="20"/>
          <w:color w:val="auto"/>
        </w:rPr>
      </w:pPr>
    </w:p>
    <w:p>
      <w:pPr>
        <w:sectPr>
          <w:pgSz w:w="11900" w:h="16838" w:orient="portrait"/>
          <w:cols w:equalWidth="0" w:num="2">
            <w:col w:w="8860" w:space="40"/>
            <w:col w:w="2340"/>
          </w:cols>
          <w:pgMar w:left="320" w:top="775" w:right="339" w:bottom="1440" w:gutter="0" w:footer="0" w:header="0"/>
          <w:type w:val="continuous"/>
        </w:sectPr>
      </w:pPr>
    </w:p>
    <w:p>
      <w:pPr>
        <w:jc w:val="both"/>
        <w:ind w:firstLine="633"/>
        <w:spacing w:after="0" w:line="290" w:lineRule="auto"/>
        <w:tabs>
          <w:tab w:leader="none" w:pos="1256"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modified in accordance with </w:t>
      </w:r>
      <w:r>
        <w:rPr>
          <w:rFonts w:ascii="Times New Roman" w:cs="Times New Roman" w:eastAsia="Times New Roman" w:hAnsi="Times New Roman"/>
          <w:sz w:val="17"/>
          <w:szCs w:val="17"/>
          <w:b w:val="1"/>
          <w:bCs w:val="1"/>
          <w:color w:val="auto"/>
        </w:rPr>
        <w:t>Section 10</w:t>
      </w:r>
      <w:r>
        <w:rPr>
          <w:rFonts w:ascii="Times New Roman" w:cs="Times New Roman" w:eastAsia="Times New Roman" w:hAnsi="Times New Roman"/>
          <w:sz w:val="17"/>
          <w:szCs w:val="17"/>
          <w:color w:val="auto"/>
        </w:rPr>
        <w:t xml:space="preserve"> to add any Subsidiary of the Company as an additional Subsidiary Party to this Subordination Agreement, this Subordination Agreement may not be amended, waived or otherwise modified without the prior written consent of each of the parties hereto.</w:t>
      </w:r>
    </w:p>
    <w:p>
      <w:pPr>
        <w:spacing w:after="0" w:line="366" w:lineRule="exact"/>
        <w:rPr>
          <w:rFonts w:ascii="Times New Roman" w:cs="Times New Roman" w:eastAsia="Times New Roman" w:hAnsi="Times New Roman"/>
          <w:sz w:val="17"/>
          <w:szCs w:val="17"/>
          <w:color w:val="auto"/>
        </w:rPr>
      </w:pPr>
    </w:p>
    <w:p>
      <w:pPr>
        <w:jc w:val="both"/>
        <w:ind w:firstLine="633"/>
        <w:spacing w:after="0" w:line="276" w:lineRule="auto"/>
        <w:tabs>
          <w:tab w:leader="none" w:pos="1256"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BANK TRUST COMPANY, NATIONAL ASSOCIATION is entering this Agreement not in its individual capacity, but solely in its capacity as the Collateral Agent under the Indenture. In acting hereunder, the Collateral Agent shall be entitled to all of the rights, privileges, indemnities and immunities granted to the Collateral Agent in the Indenture, as if such rights, privileges, indemnities and immunities were set forth herein.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Subordination Agreement to be duly executed and delivered as of the date first above written.</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[APPLICABLE SUBSIDIARY]</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-123190</wp:posOffset>
            </wp:positionV>
            <wp:extent cx="32067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U.S. Bank Trust Company, National Association, as Collateral Agent</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-123190</wp:posOffset>
            </wp:positionV>
            <wp:extent cx="32067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wp:posOffset>
            </wp:positionV>
            <wp:extent cx="71367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420"/>
          </w:cols>
          <w:pgMar w:left="960" w:top="775" w:right="51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INTERCOMPANY SUBORDINATION AGREEMENT JOINDER</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INTERCOMPANY SUBORDINATION AGREEMENT JOINDER, dated as of [DATE] by [NAME OF ADDITIONAL SUBSIDIARY], a [corporation] [limited liability company] (the “</w:t>
      </w:r>
      <w:r>
        <w:rPr>
          <w:rFonts w:ascii="Times New Roman" w:cs="Times New Roman" w:eastAsia="Times New Roman" w:hAnsi="Times New Roman"/>
          <w:sz w:val="17"/>
          <w:szCs w:val="17"/>
          <w:b w:val="1"/>
          <w:bCs w:val="1"/>
          <w:i w:val="1"/>
          <w:iCs w:val="1"/>
          <w:color w:val="auto"/>
        </w:rPr>
        <w:t>Additional Subsidiary Party</w:t>
      </w:r>
      <w:r>
        <w:rPr>
          <w:rFonts w:ascii="Times New Roman" w:cs="Times New Roman" w:eastAsia="Times New Roman" w:hAnsi="Times New Roman"/>
          <w:sz w:val="17"/>
          <w:szCs w:val="17"/>
          <w:color w:val="auto"/>
        </w:rPr>
        <w:t>”), under that certain Intercompany Subordination Agreement, dated as of [•] (as amended or otherwise modified from time to time, the “</w:t>
      </w:r>
      <w:r>
        <w:rPr>
          <w:rFonts w:ascii="Times New Roman" w:cs="Times New Roman" w:eastAsia="Times New Roman" w:hAnsi="Times New Roman"/>
          <w:sz w:val="17"/>
          <w:szCs w:val="17"/>
          <w:b w:val="1"/>
          <w:bCs w:val="1"/>
          <w:i w:val="1"/>
          <w:iCs w:val="1"/>
          <w:color w:val="auto"/>
        </w:rPr>
        <w:t>Subordination Agreement</w:t>
      </w:r>
      <w:r>
        <w:rPr>
          <w:rFonts w:ascii="Times New Roman" w:cs="Times New Roman" w:eastAsia="Times New Roman" w:hAnsi="Times New Roman"/>
          <w:sz w:val="17"/>
          <w:szCs w:val="17"/>
          <w:color w:val="auto"/>
        </w:rPr>
        <w:t>”), by and among The Beauty Health Company,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certain Subsidiaries of the Company from time to time party hereto and U.S. BANK TRUST COMPANY, NATIONAL ASSOCIATION, as collateral agent (in such capacity, the “</w:t>
      </w:r>
      <w:r>
        <w:rPr>
          <w:rFonts w:ascii="Times New Roman" w:cs="Times New Roman" w:eastAsia="Times New Roman" w:hAnsi="Times New Roman"/>
          <w:sz w:val="17"/>
          <w:szCs w:val="17"/>
          <w:b w:val="1"/>
          <w:bCs w:val="1"/>
          <w:i w:val="1"/>
          <w:iCs w:val="1"/>
          <w:color w:val="auto"/>
        </w:rPr>
        <w:t>Collateral Agent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Capitalized terms used herein and not otherwise defined herein are used herein as defined in the Subordination Agreement.</w:t>
      </w:r>
    </w:p>
    <w:p>
      <w:pPr>
        <w:spacing w:after="0" w:line="38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b w:val="1"/>
          <w:bCs w:val="1"/>
          <w:color w:val="auto"/>
        </w:rPr>
        <w:t>Section 11</w:t>
      </w:r>
      <w:r>
        <w:rPr>
          <w:rFonts w:ascii="Times New Roman" w:cs="Times New Roman" w:eastAsia="Times New Roman" w:hAnsi="Times New Roman"/>
          <w:sz w:val="17"/>
          <w:szCs w:val="17"/>
          <w:color w:val="auto"/>
        </w:rPr>
        <w:t xml:space="preserve"> of the Subordination Agreement, the Additional Subsidiary Party hereby agrees to become an “Subsidiary Party” for all purposes of the Subordination Agreement.</w:t>
      </w:r>
    </w:p>
    <w:p>
      <w:pPr>
        <w:spacing w:after="0" w:line="14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WITNESS WHEREOF, the Additional Subsidiary Party has caused this Subordination Agreement Joinder to be duly executed and delivered as of the day and year first above written.</w:t>
      </w:r>
    </w:p>
    <w:p>
      <w:pPr>
        <w:spacing w:after="0" w:line="3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[APPLICABLE SUBSIDIARY PARTIES]</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-123190</wp:posOffset>
            </wp:positionV>
            <wp:extent cx="32067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[Tax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Backup Withholding Tax</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U.S. federal income tax law, an Exchanging Investor who exchanges Existing Notes for the Exchange Consideration generally must provide such Exchanging Investor’s correct taxpayer identification number (“</w:t>
      </w:r>
      <w:r>
        <w:rPr>
          <w:rFonts w:ascii="Times New Roman" w:cs="Times New Roman" w:eastAsia="Times New Roman" w:hAnsi="Times New Roman"/>
          <w:sz w:val="17"/>
          <w:szCs w:val="17"/>
          <w:b w:val="1"/>
          <w:bCs w:val="1"/>
          <w:color w:val="auto"/>
        </w:rPr>
        <w:t>TIN</w:t>
      </w:r>
      <w:r>
        <w:rPr>
          <w:rFonts w:ascii="Times New Roman" w:cs="Times New Roman" w:eastAsia="Times New Roman" w:hAnsi="Times New Roman"/>
          <w:sz w:val="17"/>
          <w:szCs w:val="17"/>
          <w:color w:val="auto"/>
        </w:rPr>
        <w:t xml:space="preserve">”) on a properly completed and executed IRS Form W-9 (attached hereto) or otherwise establish a basis for exemption from backup withholding. A TIN is generally an individual Exchanging Investor’s social security number or an Exchanging Investor’s federal employer identification number. If the correct TIN is not provided, the Exchanging Investor may be subject to a $50 penalty imposed by the IRS. In addition, certain payments made to Exchanging Investors may be subject to U.S. backup withholding tax (currently set at 24% of the payment). If an Exchanging Investor is required to provide a TIN but does not have the TIN, the Exchanging Investor should consult its tax advisor regarding how to obtain a TIN. Certain Exchanging Investors are not subject to these backup withholding and reporting requirements. Non-U.S. Exchanging Investors generally may establish their status as exempt recipients from backup withholding by submitting a properly completed applicable IRS Form W-8 (available from the Company or the IRS at </w:t>
      </w:r>
      <w:r>
        <w:rPr>
          <w:rFonts w:ascii="Times New Roman" w:cs="Times New Roman" w:eastAsia="Times New Roman" w:hAnsi="Times New Roman"/>
          <w:sz w:val="17"/>
          <w:szCs w:val="17"/>
          <w:u w:val="single" w:color="auto"/>
          <w:color w:val="auto"/>
        </w:rPr>
        <w:t>www.irs.gov</w:t>
      </w:r>
      <w:r>
        <w:rPr>
          <w:rFonts w:ascii="Times New Roman" w:cs="Times New Roman" w:eastAsia="Times New Roman" w:hAnsi="Times New Roman"/>
          <w:sz w:val="17"/>
          <w:szCs w:val="17"/>
          <w:color w:val="auto"/>
        </w:rPr>
        <w:t>), signed, under penalties of perjury, attesting to such Exchanging Investor’s exempt foreign status. U.S. backup withholding is not an additional tax. Rather, the U.S. federal income tax liability of persons subject to backup withholding will be reduced by the amount of tax withheld. If withholding results in an overpayment of taxes, a refund may be obtained provided that the required information is timely furnished to the IRS. Exchanging Investors are urged to consult their tax advisors regarding how to complete the appropriate forms and to determine whether they are exempt from backup withholding or other withholding taxes.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Portfolio Interest Exemption (for Exchanging Investors That Are Not U.S. Persons for U.S. Federal Income Tax Purposes)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Under U.S. federal income tax law, an Exchanging Investor that exchanges Existing Notes for the Exchange Consideration and is otherwise not eligible to provide an IRS Form W-9 must claim an exemption from U.S. withholding tax on payments or deliveries attributable to accrued and unpaid interest. Any Exchanging Investor (which is not an intermediary or a foreign partnership or other foreign flow-through entity providing a Form W-8IMY) that claims such an exemption under the so-called “portfolio interest exemption” is hereby deemed to represent and certify to the statements in clause D below (along with the providing the applicable IRS Form W-8BEN or W-8BEN-E). However, if the Exchanging Investor is an intermediary, a foreign partnership or other flow-through entity, then (i) the Exchanging Investor shall provide an IRS Form W-8IMY (with underlying IRS Form W-8BEN or W-8BENE, as applicable (or other applicable forms) from each of its partners/members/beneficial owners) to the Company and (ii) the following adjustments in clause A, clause B and clause C will be made to clause D (with any appropriate adjustments to be made in the case of tiered intermediaries or tiered partnerships or flow-through entities):</w:t>
      </w:r>
    </w:p>
    <w:p>
      <w:pPr>
        <w:spacing w:after="0" w:line="177" w:lineRule="exact"/>
        <w:rPr>
          <w:sz w:val="20"/>
          <w:szCs w:val="20"/>
          <w:color w:val="auto"/>
        </w:rPr>
      </w:pPr>
    </w:p>
    <w:p>
      <w:pPr>
        <w:ind w:left="1260" w:hanging="627"/>
        <w:spacing w:after="0"/>
        <w:tabs>
          <w:tab w:leader="none" w:pos="126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representation will be provided as applied to the Exchanging Investor:</w:t>
      </w:r>
    </w:p>
    <w:p>
      <w:pPr>
        <w:spacing w:after="0" w:line="31" w:lineRule="exact"/>
        <w:rPr>
          <w:rFonts w:ascii="Times New Roman" w:cs="Times New Roman" w:eastAsia="Times New Roman" w:hAnsi="Times New Roman"/>
          <w:sz w:val="17"/>
          <w:szCs w:val="17"/>
          <w:color w:val="auto"/>
        </w:rPr>
      </w:pPr>
    </w:p>
    <w:p>
      <w:pPr>
        <w:ind w:left="1580" w:hanging="319"/>
        <w:spacing w:after="0"/>
        <w:tabs>
          <w:tab w:leader="none" w:pos="15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ownership under Clause I.</w:t>
      </w:r>
    </w:p>
    <w:p>
      <w:pPr>
        <w:spacing w:after="0" w:line="13" w:lineRule="exact"/>
        <w:rPr>
          <w:rFonts w:ascii="Times New Roman" w:cs="Times New Roman" w:eastAsia="Times New Roman" w:hAnsi="Times New Roman"/>
          <w:sz w:val="17"/>
          <w:szCs w:val="17"/>
          <w:color w:val="auto"/>
        </w:rPr>
      </w:pPr>
    </w:p>
    <w:p>
      <w:pPr>
        <w:ind w:left="1260" w:hanging="627"/>
        <w:spacing w:after="0" w:line="257" w:lineRule="auto"/>
        <w:tabs>
          <w:tab w:leader="none" w:pos="126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representations will be provided as applied to the partners, members or beneficial owners claiming the portfolio interest exemption:</w:t>
      </w:r>
    </w:p>
    <w:p>
      <w:pPr>
        <w:spacing w:after="0" w:line="209" w:lineRule="exact"/>
        <w:rPr>
          <w:rFonts w:ascii="Times New Roman" w:cs="Times New Roman" w:eastAsia="Times New Roman" w:hAnsi="Times New Roman"/>
          <w:sz w:val="17"/>
          <w:szCs w:val="17"/>
          <w:color w:val="auto"/>
        </w:rPr>
      </w:pPr>
    </w:p>
    <w:p>
      <w:pPr>
        <w:ind w:left="1580" w:hanging="319"/>
        <w:spacing w:after="0"/>
        <w:tabs>
          <w:tab w:leader="none" w:pos="15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under Clause I,</w:t>
      </w:r>
    </w:p>
    <w:p>
      <w:pPr>
        <w:spacing w:after="0" w:line="13" w:lineRule="exact"/>
        <w:rPr>
          <w:rFonts w:ascii="Times New Roman" w:cs="Times New Roman" w:eastAsia="Times New Roman" w:hAnsi="Times New Roman"/>
          <w:sz w:val="17"/>
          <w:szCs w:val="17"/>
          <w:color w:val="auto"/>
        </w:rPr>
      </w:pPr>
    </w:p>
    <w:p>
      <w:pPr>
        <w:ind w:left="1580" w:hanging="319"/>
        <w:spacing w:after="0"/>
        <w:tabs>
          <w:tab w:leader="none" w:pos="15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status in Clause III, and</w:t>
      </w:r>
    </w:p>
    <w:p>
      <w:pPr>
        <w:spacing w:after="0" w:line="13" w:lineRule="exact"/>
        <w:rPr>
          <w:rFonts w:ascii="Times New Roman" w:cs="Times New Roman" w:eastAsia="Times New Roman" w:hAnsi="Times New Roman"/>
          <w:sz w:val="17"/>
          <w:szCs w:val="17"/>
          <w:color w:val="auto"/>
        </w:rPr>
      </w:pPr>
    </w:p>
    <w:p>
      <w:pPr>
        <w:ind w:left="1580" w:hanging="319"/>
        <w:spacing w:after="0"/>
        <w:tabs>
          <w:tab w:leader="none" w:pos="15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status in Clause IV.</w:t>
      </w:r>
    </w:p>
    <w:p>
      <w:pPr>
        <w:spacing w:after="0" w:line="13" w:lineRule="exact"/>
        <w:rPr>
          <w:rFonts w:ascii="Times New Roman" w:cs="Times New Roman" w:eastAsia="Times New Roman" w:hAnsi="Times New Roman"/>
          <w:sz w:val="17"/>
          <w:szCs w:val="17"/>
          <w:color w:val="auto"/>
        </w:rPr>
      </w:pPr>
    </w:p>
    <w:p>
      <w:pPr>
        <w:ind w:left="1260" w:hanging="627"/>
        <w:spacing w:after="0" w:line="257" w:lineRule="auto"/>
        <w:tabs>
          <w:tab w:leader="none" w:pos="126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representation will be provided as applied to the undersigned as well as the partners, members or beneficial owners claiming the portfolio interest exemption:</w:t>
      </w:r>
    </w:p>
    <w:p>
      <w:pPr>
        <w:ind w:left="1580" w:hanging="319"/>
        <w:spacing w:after="0"/>
        <w:tabs>
          <w:tab w:leader="none" w:pos="15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status in Clause II.</w:t>
      </w:r>
    </w:p>
    <w:p>
      <w:pPr>
        <w:spacing w:after="0" w:line="13" w:lineRule="exact"/>
        <w:rPr>
          <w:rFonts w:ascii="Times New Roman" w:cs="Times New Roman" w:eastAsia="Times New Roman" w:hAnsi="Times New Roman"/>
          <w:sz w:val="17"/>
          <w:szCs w:val="17"/>
          <w:color w:val="auto"/>
        </w:rPr>
      </w:pPr>
    </w:p>
    <w:p>
      <w:pPr>
        <w:ind w:left="1260" w:hanging="627"/>
        <w:spacing w:after="0"/>
        <w:tabs>
          <w:tab w:leader="none" w:pos="126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representation will be provided as applied to the Exchanging Investor:</w:t>
      </w:r>
    </w:p>
    <w:p>
      <w:pPr>
        <w:spacing w:after="0" w:line="14" w:lineRule="exact"/>
        <w:rPr>
          <w:sz w:val="20"/>
          <w:szCs w:val="20"/>
          <w:color w:val="auto"/>
        </w:rPr>
      </w:pPr>
    </w:p>
    <w:p>
      <w:pPr>
        <w:ind w:left="1880" w:hanging="619"/>
        <w:spacing w:after="0"/>
        <w:tabs>
          <w:tab w:leader="none" w:pos="188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sole record and beneficial owner of the Existing Notes in respect of which it is providing this certification.</w:t>
      </w:r>
    </w:p>
    <w:p>
      <w:pPr>
        <w:spacing w:after="0" w:line="14" w:lineRule="exact"/>
        <w:rPr>
          <w:sz w:val="20"/>
          <w:szCs w:val="20"/>
          <w:color w:val="auto"/>
        </w:rPr>
      </w:pPr>
    </w:p>
    <w:p>
      <w:pPr>
        <w:ind w:left="1880" w:hanging="619"/>
        <w:spacing w:after="0"/>
        <w:tabs>
          <w:tab w:leader="none" w:pos="18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a “bank” (within the meaning of Section 881(c)(3)(A) of the Code).</w:t>
      </w:r>
    </w:p>
    <w:p>
      <w:pPr>
        <w:spacing w:after="0" w:line="14" w:lineRule="exact"/>
        <w:rPr>
          <w:sz w:val="20"/>
          <w:szCs w:val="20"/>
          <w:color w:val="auto"/>
        </w:rPr>
      </w:pPr>
    </w:p>
    <w:p>
      <w:pPr>
        <w:ind w:left="1880" w:hanging="619"/>
        <w:spacing w:after="0" w:line="257" w:lineRule="auto"/>
        <w:tabs>
          <w:tab w:leader="none" w:pos="18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a “10-percent shareholder” of the Company (within the meaning of Section 881(c)(3)(B) or Section 871(h)(3)(B) of the Code).</w:t>
      </w:r>
    </w:p>
    <w:p>
      <w:pPr>
        <w:sectPr>
          <w:pgSz w:w="11900" w:h="16838" w:orient="portrait"/>
          <w:cols w:equalWidth="0" w:num="1">
            <w:col w:w="11240"/>
          </w:cols>
          <w:pgMar w:left="320" w:top="669" w:right="339" w:bottom="1440" w:gutter="0" w:footer="0" w:header="0"/>
        </w:sectPr>
      </w:pPr>
    </w:p>
    <w:p>
      <w:pPr>
        <w:spacing w:after="0" w:line="209"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IV.</w:t>
      </w:r>
      <w:r>
        <w:rPr>
          <w:sz w:val="20"/>
          <w:szCs w:val="20"/>
          <w:color w:val="auto"/>
        </w:rPr>
        <w:tab/>
      </w:r>
      <w:r>
        <w:rPr>
          <w:rFonts w:ascii="Times New Roman" w:cs="Times New Roman" w:eastAsia="Times New Roman" w:hAnsi="Times New Roman"/>
          <w:sz w:val="17"/>
          <w:szCs w:val="17"/>
          <w:color w:val="auto"/>
        </w:rPr>
        <w:t>It is not a “controlled foreign corporation” (as such term is defined in Section 881(c)(3)(C) of the Code) related to the Company</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(within the meaning of Section 864(d)(4) of the Code).]</w:t>
      </w:r>
    </w:p>
    <w:p>
      <w:pPr>
        <w:sectPr>
          <w:pgSz w:w="11900" w:h="16838" w:orient="portrait"/>
          <w:cols w:equalWidth="0" w:num="1">
            <w:col w:w="11240"/>
          </w:cols>
          <w:pgMar w:left="320" w:top="6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367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314325</wp:posOffset>
            </wp:positionV>
            <wp:extent cx="2284730" cy="2406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84730" cy="24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BeautyHealth Company Announces Convertible Debt Refinancing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Refinancing extends maturity of existing debt and strengthens Company’s financial position to advance growth strategy</w:t>
      </w:r>
    </w:p>
    <w:p>
      <w:pPr>
        <w:spacing w:after="0" w:line="22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LONG BEACH, Calif.--(GLOBE NEWSWIRE)—May 21, 2025 </w:t>
      </w:r>
      <w:r>
        <w:rPr>
          <w:rFonts w:ascii="Times New Roman" w:cs="Times New Roman" w:eastAsia="Times New Roman" w:hAnsi="Times New Roman"/>
          <w:sz w:val="17"/>
          <w:szCs w:val="17"/>
          <w:color w:val="auto"/>
        </w:rPr>
        <w:t>– The Beauty Health Company (NASDAQ:SKIN), home to flagship brand Hydrafacial™,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today announced that it entered into privately negotiated exchange agreements (the “Exchange Agreements”) with certain holders (the “Exchanging Holders”) of the Company’s outstanding 1.25% convertible senior notes due 2026 (the “Existing Notes”).</w:t>
      </w:r>
    </w:p>
    <w:p>
      <w:pPr>
        <w:spacing w:after="0" w:line="16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“Our refinancing marks a critical step in strengthening our financial position and extending a portion of our debt maturity, giving us greater flexibility to invest in long-term, profitable growth,” said BeautyHealth Chief Executive Officer Marla Beck. “With a robust pipeline of innovation and bold brand initiatives, we’re focused on enhancing commercial execution, accelerating science-backed product development, and deepening provider engagement.”</w:t>
      </w:r>
    </w:p>
    <w:p>
      <w:pPr>
        <w:spacing w:after="0" w:line="16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Under the terms of the Exchange Agreements, the Company will exchange approximately $413.2 million of aggregate principal amount of the Existing Notes for $250.0 million of new 7.95% convertible senior secured notes due 2028 (the “New Notes”), along with an aggregate of approximately $143.4 million in cash, including accrued and unpaid interest (the “Exchange”). The New Notes will be senior, secured obligations of the Company, will be guaranteed by certain of the Company’s subsidiaries (including the Company’s material domestic, wholly owned subsidiaries), and will bear interest at a rate of 7.95% per annum. Subject to certain restrictions, noteholders may convert the New Notes at any time until two scheduled trading days prior to maturity. The initial conversion rate is 349.6503 shares per $1,000 principal amount, reflecting a conversion price of approximately $2.86 per share. This rate is subject to adjustment based on certain events. The Company expects to close the Exchange on or around May 27,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Goldman Sachs is acting as exclusive financial advisor and Latham &amp; Watkins LLP served as transaction counsel to BeautyHealth.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information regarding this announcement may be found in a Current Report on Form 8-K filed with the U.S. Securities and Exchange Commission.</w:t>
      </w:r>
    </w:p>
    <w:p>
      <w:pPr>
        <w:spacing w:after="0" w:line="2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New Notes have not been, and will not be, registered under the Securities Act of 1933, as amended (the “Securities Act”), or any other securities laws, and the New Notes and the shares of the Company’s Class A Common Stock issuable upon conversion of the New Notes will not be offered or sold except pursuant to an effective registration statement or pursuant to an exemption from, or in a transaction not subject to, the registration requirements of the Securities Act and any other applicable securities laws. This press release shall not constitute an offer to sell, or the solicitation of an offer to buy, the New Notes and related guarantees, the Existing Notes or any other securities, nor will there be any sale of the New Notes and related guarantees, the Existing Notes or any other securities, in any state or other jurisdiction in which such offer, sale or solicitation would be unlawful.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The Beauty Health Company</w:t>
      </w:r>
    </w:p>
    <w:p>
      <w:pPr>
        <w:spacing w:after="0" w:line="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Beauty Health Company (NASDAQ: SKIN) is a medtech meets beauty company delivering millions of skin health experiences every year that help consumers reinvent their relationship with their skin, bodies, and self-confidence. Our brands are pioneers: Hydrafacial™ in hydradermabrasion, SkinStylus™ in microneedling, and Keravive™ in scalp health. Together, with our powerful global community of estheticians, partners, and consumers, we are personalizing skin health for all ages, genders, skin tones, and skin types. We are committed to being ever more mindful in how we conduct our business to positively impact our communities and the planet. Find a local provider at https://hydrafacial.com/find-a-provider/ and learn more at beautyhealth.com or LinkedIn.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Certain statements made in this press release are “forward looking statements” within the meaning of the “safe harbor” provisions of the United States Private Securities Litigation Reform Act of 1995, including statements regarding The Beauty Health Company’s strategy, plans, objectives, initiatives and financial outlook. When used in this press release, the words “estimates,” “projects,”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These forward-looking statements are not guarantees of future performance, conditions or results, and involve a number of known and unknown risks, uncertainties, assumptions and other important factors, many of which are outside The Beauty Health Company’s control, that could cause actual results or outcomes to differ materially from those discussed in the forward-looking statements. As such, readers are cautioned not to place undue reliance on any forward-looking statements.</w:t>
      </w:r>
    </w:p>
    <w:p>
      <w:pPr>
        <w:spacing w:after="0" w:line="38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Important factors that may affect actual results or outcomes include, but are not limited to: risks related to whether the Company will be able to satisfy the conditions required to close the transaction; the potential impact of market and other general economic conditions; the ability of the Company to successfully execute its business plan and achieve the intended benefits thereof; the Company's failure to manage growth effectively; the Company's failure to fully realize the anticipated benefits of the transaction; and other risks and uncertainties set forth in the Company’s Quarterly Report on Form 10-Q for the quarter ended March 31, 2025 filed with the U.S. Securities and Exchange Commission (the “SEC”) on May 8, 2025, and in the Company’s subsequent filings with the SEC. There may be additional risks that the Company does not presently know of or that the Company currently believes are immaterial that could also cause actual results to differ from those contained in the forward-looking statements. The Beauty Health Company does not undertake any obligation to update or revise any forward-looking statements, whether as a result of new information, future events, or otherwise, except as required by law.</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 IR@beautyhealth.com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Source: </w:t>
      </w:r>
      <w:r>
        <w:rPr>
          <w:rFonts w:ascii="Times New Roman" w:cs="Times New Roman" w:eastAsia="Times New Roman" w:hAnsi="Times New Roman"/>
          <w:sz w:val="17"/>
          <w:szCs w:val="17"/>
          <w:color w:val="auto"/>
        </w:rPr>
        <w:t>BeautyHealth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1)"/>
      <w:numFmt w:val="lowerLetter"/>
      <w:start w:val="1"/>
    </w:lvl>
  </w:abstractNum>
  <w:abstractNum w:abstractNumId="2">
    <w:nsid w:val="7DE67713"/>
    <w:multiLevelType w:val="hybridMultilevel"/>
    <w:lvl w:ilvl="0">
      <w:lvlJc w:val="left"/>
      <w:lvlText w:val="(%1)"/>
      <w:numFmt w:val="lowerLetter"/>
      <w:start w:val="1"/>
    </w:lvl>
    <w:lvl w:ilvl="1">
      <w:lvlJc w:val="left"/>
      <w:lvlText w:val="(%2)"/>
      <w:numFmt w:val="lowerRoman"/>
      <w:start w:val="1"/>
    </w:lvl>
  </w:abstractNum>
  <w:abstractNum w:abstractNumId="3">
    <w:nsid w:val="555C55B5"/>
    <w:multiLevelType w:val="hybridMultilevel"/>
    <w:lvl w:ilvl="0">
      <w:lvlJc w:val="left"/>
      <w:lvlText w:val="(%1)"/>
      <w:numFmt w:val="lowerRoman"/>
      <w:start w:val="3"/>
    </w:lvl>
    <w:lvl w:ilvl="1">
      <w:lvlJc w:val="left"/>
      <w:lvlText w:val="(%2)"/>
      <w:numFmt w:val="decimal"/>
      <w:start w:val="1"/>
    </w:lvl>
  </w:abstractNum>
  <w:abstractNum w:abstractNumId="4">
    <w:nsid w:val="3FA62ACA"/>
    <w:multiLevelType w:val="hybridMultilevel"/>
    <w:lvl w:ilvl="0">
      <w:lvlJc w:val="left"/>
      <w:lvlText w:val="(%1)"/>
      <w:numFmt w:val="decimal"/>
      <w:start w:val="6"/>
    </w:lvl>
  </w:abstractNum>
  <w:abstractNum w:abstractNumId="5">
    <w:nsid w:val="14FCE74E"/>
    <w:multiLevelType w:val="hybridMultilevel"/>
    <w:lvl w:ilvl="0">
      <w:lvlJc w:val="left"/>
      <w:lvlText w:val="(%1)"/>
      <w:numFmt w:val="lowerLetter"/>
      <w:start w:val="1"/>
    </w:lvl>
    <w:lvl w:ilvl="1">
      <w:lvlJc w:val="left"/>
      <w:lvlText w:val="(%2)"/>
      <w:numFmt w:val="lowerRoman"/>
      <w:start w:val="1"/>
    </w:lvl>
  </w:abstractNum>
  <w:abstractNum w:abstractNumId="6">
    <w:nsid w:val="6A3DD3E8"/>
    <w:multiLevelType w:val="hybridMultilevel"/>
    <w:lvl w:ilvl="0">
      <w:lvlJc w:val="left"/>
      <w:lvlText w:val="%1"/>
      <w:numFmt w:val="lowerLetter"/>
      <w:start w:val="1"/>
    </w:lvl>
    <w:lvl w:ilvl="1">
      <w:lvlJc w:val="left"/>
      <w:lvlText w:val="(%2)"/>
      <w:numFmt w:val="lowerRoman"/>
      <w:start w:val="3"/>
    </w:lvl>
  </w:abstractNum>
  <w:abstractNum w:abstractNumId="7">
    <w:nsid w:val="71C91298"/>
    <w:multiLevelType w:val="hybridMultilevel"/>
    <w:lvl w:ilvl="0">
      <w:lvlJc w:val="left"/>
      <w:lvlText w:val="(%1)"/>
      <w:numFmt w:val="lowerLetter"/>
      <w:start w:val="6"/>
    </w:lvl>
    <w:lvl w:ilvl="1">
      <w:lvlJc w:val="left"/>
      <w:lvlText w:val="%2"/>
      <w:numFmt w:val="lowerRoman"/>
      <w:start w:val="1"/>
    </w:lvl>
  </w:abstractNum>
  <w:abstractNum w:abstractNumId="8">
    <w:nsid w:val="9DAF632"/>
    <w:multiLevelType w:val="hybridMultilevel"/>
    <w:lvl w:ilvl="0">
      <w:lvlJc w:val="left"/>
      <w:lvlText w:val="(%1)"/>
      <w:numFmt w:val="lowerLetter"/>
      <w:start w:val="7"/>
    </w:lvl>
  </w:abstractNum>
  <w:abstractNum w:abstractNumId="9">
    <w:nsid w:val="53299938"/>
    <w:multiLevelType w:val="hybridMultilevel"/>
    <w:lvl w:ilvl="0">
      <w:lvlJc w:val="left"/>
      <w:lvlText w:val="(%1)"/>
      <w:numFmt w:val="lowerLetter"/>
      <w:start w:val="11"/>
    </w:lvl>
  </w:abstractNum>
  <w:abstractNum w:abstractNumId="10">
    <w:nsid w:val="1FBFE8E0"/>
    <w:multiLevelType w:val="hybridMultilevel"/>
    <w:lvl w:ilvl="0">
      <w:lvlJc w:val="left"/>
      <w:lvlText w:val="(%1)"/>
      <w:numFmt w:val="lowerLetter"/>
      <w:start w:val="16"/>
    </w:lvl>
  </w:abstractNum>
  <w:abstractNum w:abstractNumId="11">
    <w:nsid w:val="5092CA79"/>
    <w:multiLevelType w:val="hybridMultilevel"/>
    <w:lvl w:ilvl="0">
      <w:lvlJc w:val="left"/>
      <w:lvlText w:val="(%1)"/>
      <w:numFmt w:val="lowerLetter"/>
      <w:start w:val="20"/>
    </w:lvl>
  </w:abstractNum>
  <w:abstractNum w:abstractNumId="12">
    <w:nsid w:val="1D545C4D"/>
    <w:multiLevelType w:val="hybridMultilevel"/>
    <w:lvl w:ilvl="0">
      <w:lvlJc w:val="left"/>
      <w:lvlText w:val="(%1)"/>
      <w:numFmt w:val="lowerLetter"/>
      <w:start w:val="1"/>
    </w:lvl>
  </w:abstractNum>
  <w:abstractNum w:abstractNumId="13">
    <w:nsid w:val="59ADEA3D"/>
    <w:multiLevelType w:val="hybridMultilevel"/>
    <w:lvl w:ilvl="0">
      <w:lvlJc w:val="left"/>
      <w:lvlText w:val="(%1)"/>
      <w:numFmt w:val="lowerLetter"/>
      <w:start w:val="2"/>
    </w:lvl>
  </w:abstractNum>
  <w:abstractNum w:abstractNumId="14">
    <w:nsid w:val="288F1A34"/>
    <w:multiLevelType w:val="hybridMultilevel"/>
    <w:lvl w:ilvl="0">
      <w:lvlJc w:val="left"/>
      <w:lvlText w:val="&amp;"/>
      <w:numFmt w:val="bullet"/>
      <w:start w:val="1"/>
    </w:lvl>
    <w:lvl w:ilvl="1">
      <w:lvlJc w:val="left"/>
      <w:lvlText w:val="(%2)"/>
      <w:numFmt w:val="lowerLetter"/>
      <w:start w:val="9"/>
    </w:lvl>
  </w:abstractNum>
  <w:abstractNum w:abstractNumId="15">
    <w:nsid w:val="2A155DBC"/>
    <w:multiLevelType w:val="hybridMultilevel"/>
    <w:lvl w:ilvl="0">
      <w:lvlJc w:val="left"/>
      <w:lvlText w:val="&amp;"/>
      <w:numFmt w:val="bullet"/>
      <w:start w:val="1"/>
    </w:lvl>
    <w:lvl w:ilvl="1">
      <w:lvlJc w:val="left"/>
      <w:lvlText w:val="(%2)"/>
      <w:numFmt w:val="lowerLetter"/>
      <w:start w:val="10"/>
    </w:lvl>
  </w:abstractNum>
  <w:abstractNum w:abstractNumId="16">
    <w:nsid w:val="1D9F6E5F"/>
    <w:multiLevelType w:val="hybridMultilevel"/>
    <w:lvl w:ilvl="0">
      <w:lvlJc w:val="left"/>
      <w:lvlText w:val="(%1)"/>
      <w:numFmt w:val="lowerLetter"/>
      <w:start w:val="15"/>
    </w:lvl>
  </w:abstractNum>
  <w:abstractNum w:abstractNumId="17">
    <w:nsid w:val="97E1B4E"/>
    <w:multiLevelType w:val="hybridMultilevel"/>
    <w:lvl w:ilvl="0">
      <w:lvlJc w:val="left"/>
      <w:lvlText w:val="(%1)"/>
      <w:numFmt w:val="lowerLetter"/>
      <w:start w:val="1"/>
    </w:lvl>
  </w:abstractNum>
  <w:abstractNum w:abstractNumId="18">
    <w:nsid w:val="51088277"/>
    <w:multiLevelType w:val="hybridMultilevel"/>
    <w:lvl w:ilvl="0">
      <w:lvlJc w:val="left"/>
      <w:lvlText w:val="(%1)"/>
      <w:numFmt w:val="lowerLetter"/>
      <w:start w:val="1"/>
    </w:lvl>
    <w:lvl w:ilvl="1">
      <w:lvlJc w:val="left"/>
      <w:lvlText w:val="(%2)"/>
      <w:numFmt w:val="lowerRoman"/>
      <w:start w:val="1"/>
    </w:lvl>
  </w:abstractNum>
  <w:abstractNum w:abstractNumId="19">
    <w:nsid w:val="1CA0C5FA"/>
    <w:multiLevelType w:val="hybridMultilevel"/>
    <w:lvl w:ilvl="0">
      <w:lvlJc w:val="left"/>
      <w:lvlText w:val="(%1)"/>
      <w:numFmt w:val="lowerLetter"/>
      <w:start w:val="1"/>
    </w:lvl>
  </w:abstractNum>
  <w:abstractNum w:abstractNumId="20">
    <w:nsid w:val="53584BCB"/>
    <w:multiLevelType w:val="hybridMultilevel"/>
    <w:lvl w:ilvl="0">
      <w:lvlJc w:val="left"/>
      <w:lvlText w:val="(%1)"/>
      <w:numFmt w:val="lowerLetter"/>
      <w:start w:val="2"/>
    </w:lvl>
  </w:abstractNum>
  <w:abstractNum w:abstractNumId="21">
    <w:nsid w:val="415E286C"/>
    <w:multiLevelType w:val="hybridMultilevel"/>
    <w:lvl w:ilvl="0">
      <w:lvlJc w:val="left"/>
      <w:lvlText w:val="(%1)"/>
      <w:numFmt w:val="lowerLetter"/>
      <w:start w:val="1"/>
    </w:lvl>
  </w:abstractNum>
  <w:abstractNum w:abstractNumId="22">
    <w:nsid w:val="7C58FD05"/>
    <w:multiLevelType w:val="hybridMultilevel"/>
    <w:lvl w:ilvl="0">
      <w:lvlJc w:val="left"/>
      <w:lvlText w:val="(%1)"/>
      <w:numFmt w:val="lowerLetter"/>
      <w:start w:val="6"/>
    </w:lvl>
  </w:abstractNum>
  <w:abstractNum w:abstractNumId="23">
    <w:nsid w:val="23D86AAC"/>
    <w:multiLevelType w:val="hybridMultilevel"/>
    <w:lvl w:ilvl="0">
      <w:lvlJc w:val="left"/>
      <w:lvlText w:val="%1."/>
      <w:numFmt w:val="lowerLetter"/>
      <w:start w:val="1"/>
    </w:lvl>
    <w:lvl w:ilvl="1">
      <w:lvlJc w:val="left"/>
      <w:lvlText w:val="%2."/>
      <w:numFmt w:val="lowerRoman"/>
      <w:start w:val="1"/>
    </w:lvl>
  </w:abstractNum>
  <w:abstractNum w:abstractNumId="24">
    <w:nsid w:val="45E6D486"/>
    <w:multiLevelType w:val="hybridMultilevel"/>
    <w:lvl w:ilvl="0">
      <w:lvlJc w:val="left"/>
      <w:lvlText w:val="%1"/>
      <w:numFmt w:val="lowerLetter"/>
      <w:start w:val="1"/>
    </w:lvl>
    <w:lvl w:ilvl="1">
      <w:lvlJc w:val="left"/>
      <w:lvlText w:val="%2."/>
      <w:numFmt w:val="lowerRoman"/>
      <w:start w:val="9"/>
    </w:lvl>
    <w:lvl w:ilvl="2">
      <w:lvlJc w:val="left"/>
      <w:lvlText w:val="(%3)"/>
      <w:numFmt w:val="upperLetter"/>
      <w:start w:val="2"/>
    </w:lvl>
  </w:abstractNum>
  <w:abstractNum w:abstractNumId="25">
    <w:nsid w:val="5C10FE2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6">
    <w:nsid w:val="E7FFA2B"/>
    <w:multiLevelType w:val="hybridMultilevel"/>
    <w:lvl w:ilvl="0">
      <w:lvlJc w:val="left"/>
      <w:lvlText w:val="(%1)"/>
      <w:numFmt w:val="decimal"/>
      <w:start w:val="91"/>
    </w:lvl>
  </w:abstractNum>
  <w:abstractNum w:abstractNumId="27">
    <w:nsid w:val="3C5991AA"/>
    <w:multiLevelType w:val="hybridMultilevel"/>
    <w:lvl w:ilvl="0">
      <w:lvlJc w:val="left"/>
      <w:lvlText w:val="(%1)"/>
      <w:numFmt w:val="upperLetter"/>
      <w:start w:val="1"/>
    </w:lvl>
  </w:abstractNum>
  <w:abstractNum w:abstractNumId="28">
    <w:nsid w:val="4BD8591A"/>
    <w:multiLevelType w:val="hybridMultilevel"/>
    <w:lvl w:ilvl="0">
      <w:lvlJc w:val="left"/>
      <w:lvlText w:val="(%1)"/>
      <w:numFmt w:val="upperLetter"/>
      <w:start w:val="3"/>
    </w:lvl>
  </w:abstractNum>
  <w:abstractNum w:abstractNumId="29">
    <w:nsid w:val="78DF6A55"/>
    <w:multiLevelType w:val="hybridMultilevel"/>
    <w:lvl w:ilvl="0">
      <w:lvlJc w:val="left"/>
      <w:lvlText w:val="(%1)"/>
      <w:numFmt w:val="lowerLetter"/>
      <w:start w:val="6"/>
    </w:lvl>
  </w:abstractNum>
  <w:abstractNum w:abstractNumId="30">
    <w:nsid w:val="39B7AAA2"/>
    <w:multiLevelType w:val="hybridMultilevel"/>
    <w:lvl w:ilvl="0">
      <w:lvlJc w:val="left"/>
      <w:lvlText w:val="(%1)"/>
      <w:numFmt w:val="lowerLetter"/>
      <w:start w:val="13"/>
    </w:lvl>
  </w:abstractNum>
  <w:abstractNum w:abstractNumId="31">
    <w:nsid w:val="2B0D8DBE"/>
    <w:multiLevelType w:val="hybridMultilevel"/>
    <w:lvl w:ilvl="0">
      <w:lvlJc w:val="left"/>
      <w:lvlText w:val="(%1)"/>
      <w:numFmt w:val="lowerLetter"/>
      <w:start w:val="35"/>
    </w:lvl>
  </w:abstractNum>
  <w:abstractNum w:abstractNumId="32">
    <w:nsid w:val="6C80EC70"/>
    <w:multiLevelType w:val="hybridMultilevel"/>
    <w:lvl w:ilvl="0">
      <w:lvlJc w:val="left"/>
      <w:lvlText w:val="%1."/>
      <w:numFmt w:val="lowerLetter"/>
      <w:start w:val="1"/>
    </w:lvl>
  </w:abstractNum>
  <w:abstractNum w:abstractNumId="33">
    <w:nsid w:val="379E21B5"/>
    <w:multiLevelType w:val="hybridMultilevel"/>
    <w:lvl w:ilvl="0">
      <w:lvlJc w:val="left"/>
      <w:lvlText w:val="(%1)"/>
      <w:numFmt w:val="upperLetter"/>
      <w:start w:val="1"/>
    </w:lvl>
  </w:abstractNum>
  <w:abstractNum w:abstractNumId="34">
    <w:nsid w:val="69E373"/>
    <w:multiLevelType w:val="hybridMultilevel"/>
    <w:lvl w:ilvl="0">
      <w:lvlJc w:val="left"/>
      <w:lvlText w:val="(%1)"/>
      <w:numFmt w:val="upperLetter"/>
      <w:start w:val="1"/>
    </w:lvl>
  </w:abstractNum>
  <w:abstractNum w:abstractNumId="35">
    <w:nsid w:val="2C27173B"/>
    <w:multiLevelType w:val="hybridMultilevel"/>
    <w:lvl w:ilvl="0">
      <w:lvlJc w:val="left"/>
      <w:lvlText w:val="(%1)"/>
      <w:numFmt w:val="lowerLetter"/>
      <w:start w:val="1"/>
    </w:lvl>
  </w:abstractNum>
  <w:abstractNum w:abstractNumId="36">
    <w:nsid w:val="4C9B0904"/>
    <w:multiLevelType w:val="hybridMultilevel"/>
    <w:lvl w:ilvl="0">
      <w:lvlJc w:val="left"/>
      <w:lvlText w:val="(%1)"/>
      <w:numFmt w:val="lowerLetter"/>
      <w:start w:val="10"/>
    </w:lvl>
  </w:abstractNum>
  <w:abstractNum w:abstractNumId="37">
    <w:nsid w:val="6AA7B75C"/>
    <w:multiLevelType w:val="hybridMultilevel"/>
    <w:lvl w:ilvl="0">
      <w:lvlJc w:val="left"/>
      <w:lvlText w:val="(%1)"/>
      <w:numFmt w:val="lowerLetter"/>
      <w:start w:val="1"/>
    </w:lvl>
  </w:abstractNum>
  <w:abstractNum w:abstractNumId="38">
    <w:nsid w:val="1DF029D3"/>
    <w:multiLevelType w:val="hybridMultilevel"/>
    <w:lvl w:ilvl="0">
      <w:lvlJc w:val="left"/>
      <w:lvlText w:val="(%1)"/>
      <w:numFmt w:val="lowerLetter"/>
      <w:start w:val="1"/>
    </w:lvl>
  </w:abstractNum>
  <w:abstractNum w:abstractNumId="39">
    <w:nsid w:val="5675FF36"/>
    <w:multiLevelType w:val="hybridMultilevel"/>
    <w:lvl w:ilvl="0">
      <w:lvlJc w:val="left"/>
      <w:lvlText w:val="(%1)"/>
      <w:numFmt w:val="decimal"/>
      <w:start w:val="5"/>
    </w:lvl>
  </w:abstractNum>
  <w:abstractNum w:abstractNumId="40">
    <w:nsid w:val="3DD15094"/>
    <w:multiLevelType w:val="hybridMultilevel"/>
    <w:lvl w:ilvl="0">
      <w:lvlJc w:val="left"/>
      <w:lvlText w:val="(%1)"/>
      <w:numFmt w:val="upperLetter"/>
      <w:start w:val="1"/>
    </w:lvl>
  </w:abstractNum>
  <w:abstractNum w:abstractNumId="41">
    <w:nsid w:val="3DB012B3"/>
    <w:multiLevelType w:val="hybridMultilevel"/>
    <w:lvl w:ilvl="0">
      <w:lvlJc w:val="left"/>
      <w:lvlText w:val="(%1)"/>
      <w:numFmt w:val="upperLetter"/>
      <w:start w:val="1"/>
    </w:lvl>
    <w:lvl w:ilvl="1">
      <w:lvlJc w:val="left"/>
      <w:lvlText w:val="(%2)"/>
      <w:numFmt w:val="lowerRoman"/>
      <w:start w:val="1"/>
    </w:lvl>
  </w:abstractNum>
  <w:abstractNum w:abstractNumId="42">
    <w:nsid w:val="2708C9AF"/>
    <w:multiLevelType w:val="hybridMultilevel"/>
    <w:lvl w:ilvl="0">
      <w:lvlJc w:val="left"/>
      <w:lvlText w:val="(%1)"/>
      <w:numFmt w:val="upperLetter"/>
      <w:start w:val="1"/>
    </w:lvl>
  </w:abstractNum>
  <w:abstractNum w:abstractNumId="43">
    <w:nsid w:val="5B25ACE2"/>
    <w:multiLevelType w:val="hybridMultilevel"/>
    <w:lvl w:ilvl="0">
      <w:lvlJc w:val="left"/>
      <w:lvlText w:val="(%1)"/>
      <w:numFmt w:val="upperLetter"/>
      <w:start w:val="1"/>
    </w:lvl>
  </w:abstractNum>
  <w:abstractNum w:abstractNumId="44">
    <w:nsid w:val="175DFCF0"/>
    <w:multiLevelType w:val="hybridMultilevel"/>
    <w:lvl w:ilvl="0">
      <w:lvlJc w:val="left"/>
      <w:lvlText w:val="(%1)"/>
      <w:numFmt w:val="upperLetter"/>
      <w:start w:val="1"/>
    </w:lvl>
  </w:abstractNum>
  <w:abstractNum w:abstractNumId="45">
    <w:nsid w:val="4F97E3E4"/>
    <w:multiLevelType w:val="hybridMultilevel"/>
    <w:lvl w:ilvl="0">
      <w:lvlJc w:val="left"/>
      <w:lvlText w:val="(%1)"/>
      <w:numFmt w:val="upperLetter"/>
      <w:start w:val="2"/>
    </w:lvl>
  </w:abstractNum>
  <w:abstractNum w:abstractNumId="46">
    <w:nsid w:val="53B0A9E"/>
    <w:multiLevelType w:val="hybridMultilevel"/>
    <w:lvl w:ilvl="0">
      <w:lvlJc w:val="left"/>
      <w:lvlText w:val="(%1)"/>
      <w:numFmt w:val="upperLetter"/>
      <w:start w:val="1"/>
    </w:lvl>
  </w:abstractNum>
  <w:abstractNum w:abstractNumId="47">
    <w:nsid w:val="34FD6B4F"/>
    <w:multiLevelType w:val="hybridMultilevel"/>
    <w:lvl w:ilvl="0">
      <w:lvlJc w:val="left"/>
      <w:lvlText w:val="(%1)"/>
      <w:numFmt w:val="upperLetter"/>
      <w:start w:val="1"/>
    </w:lvl>
    <w:lvl w:ilvl="1">
      <w:lvlJc w:val="left"/>
      <w:lvlText w:val="(%2)"/>
      <w:numFmt w:val="lowerRoman"/>
      <w:start w:val="1"/>
    </w:lvl>
  </w:abstractNum>
  <w:abstractNum w:abstractNumId="48">
    <w:nsid w:val="5915FF32"/>
    <w:multiLevelType w:val="hybridMultilevel"/>
    <w:lvl w:ilvl="0">
      <w:lvlJc w:val="left"/>
      <w:lvlText w:val="(%1)"/>
      <w:numFmt w:val="upperLetter"/>
      <w:start w:val="5"/>
    </w:lvl>
    <w:lvl w:ilvl="1">
      <w:lvlJc w:val="left"/>
      <w:lvlText w:val="(%2)"/>
      <w:numFmt w:val="lowerRoman"/>
      <w:start w:val="1"/>
    </w:lvl>
  </w:abstractNum>
  <w:abstractNum w:abstractNumId="49">
    <w:nsid w:val="56438D15"/>
    <w:multiLevelType w:val="hybridMultilevel"/>
    <w:lvl w:ilvl="0">
      <w:lvlJc w:val="left"/>
      <w:lvlText w:val="(%1)"/>
      <w:numFmt w:val="upperLetter"/>
      <w:start w:val="1"/>
    </w:lvl>
    <w:lvl w:ilvl="1">
      <w:lvlJc w:val="left"/>
      <w:lvlText w:val="(%2)"/>
      <w:numFmt w:val="lowerRoman"/>
      <w:start w:val="1"/>
    </w:lvl>
  </w:abstractNum>
  <w:abstractNum w:abstractNumId="50">
    <w:nsid w:val="519E3149"/>
    <w:multiLevelType w:val="hybridMultilevel"/>
    <w:lvl w:ilvl="0">
      <w:lvlJc w:val="left"/>
      <w:lvlText w:val="%1"/>
      <w:numFmt w:val="upperLetter"/>
      <w:start w:val="1"/>
    </w:lvl>
    <w:lvl w:ilvl="1">
      <w:lvlJc w:val="left"/>
      <w:lvlText w:val="(%2)"/>
      <w:numFmt w:val="lowerRoman"/>
      <w:start w:val="6"/>
    </w:lvl>
    <w:lvl w:ilvl="2">
      <w:lvlJc w:val="left"/>
      <w:lvlText w:val="%3"/>
      <w:numFmt w:val="decimal"/>
      <w:start w:val="1"/>
    </w:lvl>
  </w:abstractNum>
  <w:abstractNum w:abstractNumId="51">
    <w:nsid w:val="2C6E4AFD"/>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52">
    <w:nsid w:val="17A1B58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53">
    <w:nsid w:val="4DF72E4E"/>
    <w:multiLevelType w:val="hybridMultilevel"/>
    <w:lvl w:ilvl="0">
      <w:lvlJc w:val="left"/>
      <w:lvlText w:val="(%1)"/>
      <w:numFmt w:val="lowerLetter"/>
      <w:start w:val="26"/>
    </w:lvl>
    <w:lvl w:ilvl="1">
      <w:lvlJc w:val="left"/>
      <w:lvlText w:val="(%2)"/>
      <w:numFmt w:val="lowerLetter"/>
      <w:start w:val="61"/>
    </w:lvl>
    <w:lvl w:ilvl="2">
      <w:lvlJc w:val="left"/>
      <w:lvlText w:val="%3"/>
      <w:numFmt w:val="decimal"/>
      <w:start w:val="1"/>
    </w:lvl>
  </w:abstractNum>
  <w:abstractNum w:abstractNumId="54">
    <w:nsid w:val="5046B5A9"/>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55">
    <w:nsid w:val="5D888A0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lvl w:ilvl="3">
      <w:lvlJc w:val="left"/>
      <w:lvlText w:val="(%4)"/>
      <w:numFmt w:val="lowerLetter"/>
      <w:start w:val="1"/>
    </w:lvl>
  </w:abstractNum>
  <w:abstractNum w:abstractNumId="56">
    <w:nsid w:val="2A082C70"/>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57">
    <w:nsid w:val="5EC6AFD4"/>
    <w:multiLevelType w:val="hybridMultilevel"/>
    <w:lvl w:ilvl="0">
      <w:lvlJc w:val="left"/>
      <w:lvlText w:val="(%1)"/>
      <w:numFmt w:val="upperLetter"/>
      <w:start w:val="5"/>
    </w:lvl>
  </w:abstractNum>
  <w:abstractNum w:abstractNumId="58">
    <w:nsid w:val="19E21BB2"/>
    <w:multiLevelType w:val="hybridMultilevel"/>
    <w:lvl w:ilvl="0">
      <w:lvlJc w:val="left"/>
      <w:lvlText w:val="(%1)"/>
      <w:numFmt w:val="upperLetter"/>
      <w:start w:val="1"/>
    </w:lvl>
    <w:lvl w:ilvl="1">
      <w:lvlJc w:val="left"/>
      <w:lvlText w:val="(%2)"/>
      <w:numFmt w:val="lowerRoman"/>
      <w:start w:val="1"/>
    </w:lvl>
  </w:abstractNum>
  <w:abstractNum w:abstractNumId="59">
    <w:nsid w:val="75E0858A"/>
    <w:multiLevelType w:val="hybridMultilevel"/>
    <w:lvl w:ilvl="0">
      <w:lvlJc w:val="left"/>
      <w:lvlText w:val="(%1)"/>
      <w:numFmt w:val="upperLetter"/>
      <w:start w:val="1"/>
    </w:lvl>
  </w:abstractNum>
  <w:abstractNum w:abstractNumId="60">
    <w:nsid w:val="57A61A29"/>
    <w:multiLevelType w:val="hybridMultilevel"/>
    <w:lvl w:ilvl="0">
      <w:lvlJc w:val="left"/>
      <w:lvlText w:val="(%1)"/>
      <w:numFmt w:val="upperLetter"/>
      <w:start w:val="1"/>
    </w:lvl>
  </w:abstractNum>
  <w:abstractNum w:abstractNumId="61">
    <w:nsid w:val="5399C654"/>
    <w:multiLevelType w:val="hybridMultilevel"/>
    <w:lvl w:ilvl="0">
      <w:lvlJc w:val="left"/>
      <w:lvlText w:val="(%1)"/>
      <w:numFmt w:val="upperLetter"/>
      <w:start w:val="1"/>
    </w:lvl>
  </w:abstractNum>
  <w:abstractNum w:abstractNumId="62">
    <w:nsid w:val="20EE1348"/>
    <w:multiLevelType w:val="hybridMultilevel"/>
    <w:lvl w:ilvl="0">
      <w:lvlJc w:val="left"/>
      <w:lvlText w:val="(%1)"/>
      <w:numFmt w:val="lowerRoman"/>
      <w:start w:val="1"/>
    </w:lvl>
  </w:abstractNum>
  <w:abstractNum w:abstractNumId="63">
    <w:nsid w:val="4427069A"/>
    <w:multiLevelType w:val="hybridMultilevel"/>
    <w:lvl w:ilvl="0">
      <w:lvlJc w:val="left"/>
      <w:lvlText w:val="(%1)"/>
      <w:numFmt w:val="upperLetter"/>
      <w:start w:val="3"/>
    </w:lvl>
  </w:abstractNum>
  <w:abstractNum w:abstractNumId="64">
    <w:nsid w:val="B37E80A"/>
    <w:multiLevelType w:val="hybridMultilevel"/>
    <w:lvl w:ilvl="0">
      <w:lvlJc w:val="left"/>
      <w:lvlText w:val="(%1)"/>
      <w:numFmt w:val="upperLetter"/>
      <w:start w:val="1"/>
    </w:lvl>
  </w:abstractNum>
  <w:abstractNum w:abstractNumId="65">
    <w:nsid w:val="2157F6BC"/>
    <w:multiLevelType w:val="hybridMultilevel"/>
    <w:lvl w:ilvl="0">
      <w:lvlJc w:val="left"/>
      <w:lvlText w:val="%1"/>
      <w:numFmt w:val="upperLetter"/>
      <w:start w:val="1"/>
    </w:lvl>
    <w:lvl w:ilvl="1">
      <w:lvlJc w:val="left"/>
      <w:lvlText w:val="(%2)"/>
      <w:numFmt w:val="lowerRoman"/>
      <w:start w:val="1"/>
    </w:lvl>
  </w:abstractNum>
  <w:abstractNum w:abstractNumId="66">
    <w:nsid w:val="704E1DD5"/>
    <w:multiLevelType w:val="hybridMultilevel"/>
    <w:lvl w:ilvl="0">
      <w:lvlJc w:val="left"/>
      <w:lvlText w:val="(%1)"/>
      <w:numFmt w:val="upperLetter"/>
      <w:start w:val="2"/>
    </w:lvl>
    <w:lvl w:ilvl="1">
      <w:lvlJc w:val="left"/>
      <w:lvlText w:val="%2"/>
      <w:numFmt w:val="lowerRoman"/>
      <w:start w:val="1"/>
    </w:lvl>
  </w:abstractNum>
  <w:abstractNum w:abstractNumId="67">
    <w:nsid w:val="57D2F10E"/>
    <w:multiLevelType w:val="hybridMultilevel"/>
    <w:lvl w:ilvl="0">
      <w:lvlJc w:val="left"/>
      <w:lvlText w:val="(%1)"/>
      <w:numFmt w:val="upperLetter"/>
      <w:start w:val="1"/>
    </w:lvl>
  </w:abstractNum>
  <w:abstractNum w:abstractNumId="68">
    <w:nsid w:val="BFFAE18"/>
    <w:multiLevelType w:val="hybridMultilevel"/>
    <w:lvl w:ilvl="0">
      <w:lvlJc w:val="left"/>
      <w:lvlText w:val="(%1)"/>
      <w:numFmt w:val="upperLetter"/>
      <w:start w:val="1"/>
    </w:lvl>
  </w:abstractNum>
  <w:abstractNum w:abstractNumId="69">
    <w:nsid w:val="E3E47A8"/>
    <w:multiLevelType w:val="hybridMultilevel"/>
    <w:lvl w:ilvl="0">
      <w:lvlJc w:val="left"/>
      <w:lvlText w:val="(%1)"/>
      <w:numFmt w:val="upperLetter"/>
      <w:start w:val="5"/>
    </w:lvl>
  </w:abstractNum>
  <w:abstractNum w:abstractNumId="70">
    <w:nsid w:val="2E48F044"/>
    <w:multiLevelType w:val="hybridMultilevel"/>
    <w:lvl w:ilvl="0">
      <w:lvlJc w:val="left"/>
      <w:lvlText w:val="(%1)"/>
      <w:numFmt w:val="upperLetter"/>
      <w:start w:val="14"/>
    </w:lvl>
  </w:abstractNum>
  <w:abstractNum w:abstractNumId="71">
    <w:nsid w:val="49D0FEAC"/>
    <w:multiLevelType w:val="hybridMultilevel"/>
    <w:lvl w:ilvl="0">
      <w:lvlJc w:val="left"/>
      <w:lvlText w:val="(%1)"/>
      <w:numFmt w:val="upperLetter"/>
      <w:start w:val="1"/>
    </w:lvl>
  </w:abstractNum>
  <w:abstractNum w:abstractNumId="72">
    <w:nsid w:val="4BEE5A5B"/>
    <w:multiLevelType w:val="hybridMultilevel"/>
    <w:lvl w:ilvl="0">
      <w:lvlJc w:val="left"/>
      <w:lvlText w:val="(%1)"/>
      <w:numFmt w:val="upperLetter"/>
      <w:start w:val="3"/>
    </w:lvl>
  </w:abstractNum>
  <w:abstractNum w:abstractNumId="73">
    <w:nsid w:val="5551B9F3"/>
    <w:multiLevelType w:val="hybridMultilevel"/>
    <w:lvl w:ilvl="0">
      <w:lvlJc w:val="left"/>
      <w:lvlText w:val="(%1)"/>
      <w:numFmt w:val="upperLetter"/>
      <w:start w:val="13"/>
    </w:lvl>
  </w:abstractNum>
  <w:abstractNum w:abstractNumId="74">
    <w:nsid w:val="24F6AB8E"/>
    <w:multiLevelType w:val="hybridMultilevel"/>
    <w:lvl w:ilvl="0">
      <w:lvlJc w:val="left"/>
      <w:lvlText w:val="(%1)"/>
      <w:numFmt w:val="upperLetter"/>
      <w:start w:val="1"/>
    </w:lvl>
  </w:abstractNum>
  <w:abstractNum w:abstractNumId="75">
    <w:nsid w:val="634C574C"/>
    <w:multiLevelType w:val="hybridMultilevel"/>
    <w:lvl w:ilvl="0">
      <w:lvlJc w:val="left"/>
      <w:lvlText w:val="(%1)"/>
      <w:numFmt w:val="upperLetter"/>
      <w:start w:val="4"/>
    </w:lvl>
  </w:abstractNum>
  <w:abstractNum w:abstractNumId="76">
    <w:nsid w:val="24E99DD7"/>
    <w:multiLevelType w:val="hybridMultilevel"/>
    <w:lvl w:ilvl="0">
      <w:lvlJc w:val="left"/>
      <w:lvlText w:val="%1"/>
      <w:numFmt w:val="lowerRoman"/>
      <w:start w:val="1"/>
    </w:lvl>
    <w:lvl w:ilvl="1">
      <w:lvlJc w:val="left"/>
      <w:lvlText w:val="(%2)"/>
      <w:numFmt w:val="upperLetter"/>
      <w:start w:val="16"/>
    </w:lvl>
  </w:abstractNum>
  <w:abstractNum w:abstractNumId="77">
    <w:nsid w:val="2A31B62D"/>
    <w:multiLevelType w:val="hybridMultilevel"/>
    <w:lvl w:ilvl="0">
      <w:lvlJc w:val="left"/>
      <w:lvlText w:val="(%1)"/>
      <w:numFmt w:val="lowerRoman"/>
      <w:start w:val="3"/>
    </w:lvl>
    <w:lvl w:ilvl="1">
      <w:lvlJc w:val="left"/>
      <w:lvlText w:val="(%2)"/>
      <w:numFmt w:val="upperLetter"/>
      <w:start w:val="17"/>
    </w:lvl>
  </w:abstractNum>
  <w:abstractNum w:abstractNumId="78">
    <w:nsid w:val="1849C29B"/>
    <w:multiLevelType w:val="hybridMultilevel"/>
    <w:lvl w:ilvl="0">
      <w:lvlJc w:val="left"/>
      <w:lvlText w:val="(%1)"/>
      <w:numFmt w:val="upperLetter"/>
      <w:start w:val="1"/>
    </w:lvl>
  </w:abstractNum>
  <w:abstractNum w:abstractNumId="79">
    <w:nsid w:val="7DFF9D09"/>
    <w:multiLevelType w:val="hybridMultilevel"/>
    <w:lvl w:ilvl="0">
      <w:lvlJc w:val="left"/>
      <w:lvlText w:val="(%1)"/>
      <w:numFmt w:val="upperLetter"/>
      <w:start w:val="11"/>
    </w:lvl>
    <w:lvl w:ilvl="1">
      <w:lvlJc w:val="left"/>
      <w:lvlText w:val="(%2)"/>
      <w:numFmt w:val="lowerRoman"/>
      <w:start w:val="1"/>
    </w:lvl>
    <w:lvl w:ilvl="2">
      <w:lvlJc w:val="left"/>
      <w:lvlText w:val="(%3)"/>
      <w:numFmt w:val="decimal"/>
      <w:start w:val="1"/>
    </w:lvl>
  </w:abstractNum>
  <w:abstractNum w:abstractNumId="80">
    <w:nsid w:val="754342"/>
    <w:multiLevelType w:val="hybridMultilevel"/>
    <w:lvl w:ilvl="0">
      <w:lvlJc w:val="left"/>
      <w:lvlText w:val="(%1)"/>
      <w:numFmt w:val="upperLetter"/>
      <w:start w:val="1"/>
    </w:lvl>
    <w:lvl w:ilvl="1">
      <w:lvlJc w:val="left"/>
      <w:lvlText w:val="(%2)"/>
      <w:numFmt w:val="lowerRoman"/>
      <w:start w:val="1"/>
    </w:lvl>
  </w:abstractNum>
  <w:abstractNum w:abstractNumId="81">
    <w:nsid w:val="69E7F3E5"/>
    <w:multiLevelType w:val="hybridMultilevel"/>
    <w:lvl w:ilvl="0">
      <w:lvlJc w:val="left"/>
      <w:lvlText w:val="(%1)"/>
      <w:numFmt w:val="upperLetter"/>
      <w:start w:val="2"/>
    </w:lvl>
    <w:lvl w:ilvl="1">
      <w:lvlJc w:val="left"/>
      <w:lvlText w:val="(%2)"/>
      <w:numFmt w:val="lowerRoman"/>
      <w:start w:val="1"/>
    </w:lvl>
  </w:abstractNum>
  <w:abstractNum w:abstractNumId="82">
    <w:nsid w:val="2A6DE806"/>
    <w:multiLevelType w:val="hybridMultilevel"/>
    <w:lvl w:ilvl="0">
      <w:lvlJc w:val="left"/>
      <w:lvlText w:val="(%1)"/>
      <w:numFmt w:val="lowerLetter"/>
      <w:start w:val="1"/>
    </w:lvl>
  </w:abstractNum>
  <w:abstractNum w:abstractNumId="83">
    <w:nsid w:val="1816F8C4"/>
    <w:multiLevelType w:val="hybridMultilevel"/>
    <w:lvl w:ilvl="0">
      <w:lvlJc w:val="left"/>
      <w:lvlText w:val="(%1)"/>
      <w:numFmt w:val="upperLetter"/>
      <w:start w:val="1"/>
    </w:lvl>
  </w:abstractNum>
  <w:abstractNum w:abstractNumId="84">
    <w:nsid w:val="37DF2233"/>
    <w:multiLevelType w:val="hybridMultilevel"/>
    <w:lvl w:ilvl="0">
      <w:lvlJc w:val="left"/>
      <w:lvlText w:val="(%1)"/>
      <w:numFmt w:val="upperLetter"/>
      <w:start w:val="1"/>
    </w:lvl>
  </w:abstractNum>
  <w:abstractNum w:abstractNumId="85">
    <w:nsid w:val="7AB49DAF"/>
    <w:multiLevelType w:val="hybridMultilevel"/>
    <w:lvl w:ilvl="0">
      <w:lvlJc w:val="left"/>
      <w:lvlText w:val="(%1)"/>
      <w:numFmt w:val="upperLetter"/>
      <w:start w:val="5"/>
    </w:lvl>
  </w:abstractNum>
  <w:abstractNum w:abstractNumId="86">
    <w:nsid w:val="759F82CD"/>
    <w:multiLevelType w:val="hybridMultilevel"/>
    <w:lvl w:ilvl="0">
      <w:lvlJc w:val="left"/>
      <w:lvlText w:val="(%1)"/>
      <w:numFmt w:val="lowerRoman"/>
      <w:start w:val="1"/>
    </w:lvl>
  </w:abstractNum>
  <w:abstractNum w:abstractNumId="87">
    <w:nsid w:val="61E74EA3"/>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88">
    <w:nsid w:val="597B4D84"/>
    <w:multiLevelType w:val="hybridMultilevel"/>
    <w:lvl w:ilvl="0">
      <w:lvlJc w:val="left"/>
      <w:lvlText w:val="(%1)"/>
      <w:numFmt w:val="lowerRoman"/>
      <w:start w:val="2"/>
    </w:lvl>
  </w:abstractNum>
  <w:abstractNum w:abstractNumId="89">
    <w:nsid w:val="F819E7F"/>
    <w:multiLevelType w:val="hybridMultilevel"/>
    <w:lvl w:ilvl="0">
      <w:lvlJc w:val="left"/>
      <w:lvlText w:val="%1"/>
      <w:numFmt w:val="lowerRoman"/>
      <w:start w:val="1"/>
    </w:lvl>
    <w:lvl w:ilvl="1">
      <w:lvlJc w:val="left"/>
      <w:lvlText w:val="(%2)"/>
      <w:numFmt w:val="decimal"/>
      <w:start w:val="1"/>
    </w:lvl>
  </w:abstractNum>
  <w:abstractNum w:abstractNumId="90">
    <w:nsid w:val="57C7D42D"/>
    <w:multiLevelType w:val="hybridMultilevel"/>
    <w:lvl w:ilvl="0">
      <w:lvlJc w:val="left"/>
      <w:lvlText w:val="(%1)"/>
      <w:numFmt w:val="lowerRoman"/>
      <w:start w:val="3"/>
    </w:lvl>
    <w:lvl w:ilvl="1">
      <w:lvlJc w:val="left"/>
      <w:lvlText w:val="(%2)"/>
      <w:numFmt w:val="decimal"/>
      <w:start w:val="1"/>
    </w:lvl>
  </w:abstractNum>
  <w:abstractNum w:abstractNumId="91">
    <w:nsid w:val="312167AD"/>
    <w:multiLevelType w:val="hybridMultilevel"/>
    <w:lvl w:ilvl="0">
      <w:lvlJc w:val="left"/>
      <w:lvlText w:val="(%1)"/>
      <w:numFmt w:val="upperLetter"/>
      <w:start w:val="7"/>
    </w:lvl>
  </w:abstractNum>
  <w:abstractNum w:abstractNumId="92">
    <w:nsid w:val="631B64D4"/>
    <w:multiLevelType w:val="hybridMultilevel"/>
    <w:lvl w:ilvl="0">
      <w:lvlJc w:val="left"/>
      <w:lvlText w:val="(%1)"/>
      <w:numFmt w:val="upperLetter"/>
      <w:start w:val="1"/>
    </w:lvl>
  </w:abstractNum>
  <w:abstractNum w:abstractNumId="93">
    <w:nsid w:val="78B5E776"/>
    <w:multiLevelType w:val="hybridMultilevel"/>
    <w:lvl w:ilvl="0">
      <w:lvlJc w:val="left"/>
      <w:lvlText w:val="(%1)"/>
      <w:numFmt w:val="upperLetter"/>
      <w:start w:val="6"/>
    </w:lvl>
  </w:abstractNum>
  <w:abstractNum w:abstractNumId="94">
    <w:nsid w:val="75486E47"/>
    <w:multiLevelType w:val="hybridMultilevel"/>
    <w:lvl w:ilvl="0">
      <w:lvlJc w:val="left"/>
      <w:lvlText w:val="%1"/>
      <w:numFmt w:val="upperLetter"/>
      <w:start w:val="1"/>
    </w:lvl>
    <w:lvl w:ilvl="1">
      <w:lvlJc w:val="left"/>
      <w:lvlText w:val="(%2)"/>
      <w:numFmt w:val="lowerRoman"/>
      <w:start w:val="1"/>
    </w:lvl>
  </w:abstractNum>
  <w:abstractNum w:abstractNumId="95">
    <w:nsid w:val="6E534CDE"/>
    <w:multiLevelType w:val="hybridMultilevel"/>
    <w:lvl w:ilvl="0">
      <w:lvlJc w:val="left"/>
      <w:lvlText w:val="(%1)"/>
      <w:numFmt w:val="upperLetter"/>
      <w:start w:val="7"/>
    </w:lvl>
    <w:lvl w:ilvl="1">
      <w:lvlJc w:val="left"/>
      <w:lvlText w:val="(%2)"/>
      <w:numFmt w:val="lowerRoman"/>
      <w:start w:val="1"/>
    </w:lvl>
  </w:abstractNum>
  <w:abstractNum w:abstractNumId="96">
    <w:nsid w:val="1A0DDE32"/>
    <w:multiLevelType w:val="hybridMultilevel"/>
    <w:lvl w:ilvl="0">
      <w:lvlJc w:val="left"/>
      <w:lvlText w:val="(%1)"/>
      <w:numFmt w:val="upperLetter"/>
      <w:start w:val="8"/>
    </w:lvl>
  </w:abstractNum>
  <w:abstractNum w:abstractNumId="97">
    <w:nsid w:val="65968C1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98">
    <w:nsid w:val="46263DEC"/>
    <w:multiLevelType w:val="hybridMultilevel"/>
    <w:lvl w:ilvl="0">
      <w:lvlJc w:val="left"/>
      <w:lvlText w:val="(%1)"/>
      <w:numFmt w:val="upperLetter"/>
      <w:start w:val="1"/>
    </w:lvl>
    <w:lvl w:ilvl="1">
      <w:lvlJc w:val="left"/>
      <w:lvlText w:val="(%2)"/>
      <w:numFmt w:val="lowerRoman"/>
      <w:start w:val="1"/>
    </w:lvl>
  </w:abstractNum>
  <w:abstractNum w:abstractNumId="99">
    <w:nsid w:val="260D8C4A"/>
    <w:multiLevelType w:val="hybridMultilevel"/>
    <w:lvl w:ilvl="0">
      <w:lvlJc w:val="left"/>
      <w:lvlText w:val="(%1)"/>
      <w:numFmt w:val="upperLetter"/>
      <w:start w:val="5"/>
    </w:lvl>
  </w:abstractNum>
  <w:abstractNum w:abstractNumId="100">
    <w:nsid w:val="73D4D3C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01">
    <w:nsid w:val="746F2E30"/>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102">
    <w:nsid w:val="6FDE8AF6"/>
    <w:multiLevelType w:val="hybridMultilevel"/>
    <w:lvl w:ilvl="0">
      <w:lvlJc w:val="left"/>
      <w:lvlText w:val="(%1)"/>
      <w:numFmt w:val="upperLetter"/>
      <w:start w:val="3"/>
    </w:lvl>
  </w:abstractNum>
  <w:abstractNum w:abstractNumId="103">
    <w:nsid w:val="3FC32E20"/>
    <w:multiLevelType w:val="hybridMultilevel"/>
    <w:lvl w:ilvl="0">
      <w:lvlJc w:val="left"/>
      <w:lvlText w:val="(%1)"/>
      <w:numFmt w:val="upperLetter"/>
      <w:start w:val="1"/>
    </w:lvl>
  </w:abstractNum>
  <w:abstractNum w:abstractNumId="104">
    <w:nsid w:val="49C0E823"/>
    <w:multiLevelType w:val="hybridMultilevel"/>
    <w:lvl w:ilvl="0">
      <w:lvlJc w:val="left"/>
      <w:lvlText w:val="(%1)"/>
      <w:numFmt w:val="upperLetter"/>
      <w:start w:val="1"/>
    </w:lvl>
    <w:lvl w:ilvl="1">
      <w:lvlJc w:val="left"/>
      <w:lvlText w:val="(%2)"/>
      <w:numFmt w:val="lowerRoman"/>
      <w:start w:val="1"/>
    </w:lvl>
  </w:abstractNum>
  <w:abstractNum w:abstractNumId="105">
    <w:nsid w:val="14D53685"/>
    <w:multiLevelType w:val="hybridMultilevel"/>
    <w:lvl w:ilvl="0">
      <w:lvlJc w:val="left"/>
      <w:lvlText w:val="(%1)"/>
      <w:numFmt w:val="lowerRoman"/>
      <w:start w:val="2"/>
    </w:lvl>
  </w:abstractNum>
  <w:abstractNum w:abstractNumId="106">
    <w:nsid w:val="230F856C"/>
    <w:multiLevelType w:val="hybridMultilevel"/>
    <w:lvl w:ilvl="0">
      <w:lvlJc w:val="left"/>
      <w:lvlText w:val="X"/>
      <w:numFmt w:val="bullet"/>
      <w:start w:val="1"/>
    </w:lvl>
  </w:abstractNum>
  <w:abstractNum w:abstractNumId="107">
    <w:nsid w:val="6EAA85FB"/>
    <w:multiLevelType w:val="hybridMultilevel"/>
    <w:lvl w:ilvl="0">
      <w:lvlJc w:val="left"/>
      <w:lvlText w:val="Y"/>
      <w:numFmt w:val="bullet"/>
      <w:start w:val="1"/>
    </w:lvl>
  </w:abstractNum>
  <w:abstractNum w:abstractNumId="108">
    <w:nsid w:val="3F06ECB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09">
    <w:nsid w:val="3B594807"/>
    <w:multiLevelType w:val="hybridMultilevel"/>
    <w:lvl w:ilvl="0">
      <w:lvlJc w:val="left"/>
      <w:lvlText w:val="(%1)"/>
      <w:numFmt w:val="lowerLetter"/>
      <w:start w:val="6"/>
    </w:lvl>
  </w:abstractNum>
  <w:abstractNum w:abstractNumId="110">
    <w:nsid w:val="6CAA2304"/>
    <w:multiLevelType w:val="hybridMultilevel"/>
    <w:lvl w:ilvl="0">
      <w:lvlJc w:val="left"/>
      <w:lvlText w:val="(%1)"/>
      <w:numFmt w:val="decimal"/>
      <w:start w:val="2"/>
    </w:lvl>
  </w:abstractNum>
  <w:abstractNum w:abstractNumId="111">
    <w:nsid w:val="3F7C2FF4"/>
    <w:multiLevelType w:val="hybridMultilevel"/>
    <w:lvl w:ilvl="0">
      <w:lvlJc w:val="left"/>
      <w:lvlText w:val="(%1)"/>
      <w:numFmt w:val="lowerLetter"/>
      <w:start w:val="25"/>
    </w:lvl>
  </w:abstractNum>
  <w:abstractNum w:abstractNumId="112">
    <w:nsid w:val="25413BEC"/>
    <w:multiLevelType w:val="hybridMultilevel"/>
    <w:lvl w:ilvl="0">
      <w:lvlJc w:val="left"/>
      <w:lvlText w:val="(%1)"/>
      <w:numFmt w:val="lowerRoman"/>
      <w:start w:val="4"/>
    </w:lvl>
  </w:abstractNum>
  <w:abstractNum w:abstractNumId="113">
    <w:nsid w:val="17180B0B"/>
    <w:multiLevelType w:val="hybridMultilevel"/>
    <w:lvl w:ilvl="0">
      <w:lvlJc w:val="left"/>
      <w:lvlText w:val="D"/>
      <w:numFmt w:val="bullet"/>
      <w:start w:val="1"/>
    </w:lvl>
  </w:abstractNum>
  <w:abstractNum w:abstractNumId="114">
    <w:nsid w:val="579328B9"/>
    <w:multiLevelType w:val="hybridMultilevel"/>
    <w:lvl w:ilvl="0">
      <w:lvlJc w:val="left"/>
      <w:lvlText w:val="(%1)"/>
      <w:numFmt w:val="lowerRoman"/>
      <w:start w:val="5"/>
    </w:lvl>
  </w:abstractNum>
  <w:abstractNum w:abstractNumId="115">
    <w:nsid w:val="5D205E20"/>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116">
    <w:nsid w:val="11CCA8BA"/>
    <w:multiLevelType w:val="hybridMultilevel"/>
    <w:lvl w:ilvl="0">
      <w:lvlJc w:val="left"/>
      <w:lvlText w:val="(%1)"/>
      <w:numFmt w:val="upperLetter"/>
      <w:start w:val="4"/>
    </w:lvl>
    <w:lvl w:ilvl="1">
      <w:lvlJc w:val="left"/>
      <w:lvlText w:val="(%2)"/>
      <w:numFmt w:val="lowerRoman"/>
      <w:start w:val="1"/>
    </w:lvl>
  </w:abstractNum>
  <w:abstractNum w:abstractNumId="117">
    <w:nsid w:val="4D32AB86"/>
    <w:multiLevelType w:val="hybridMultilevel"/>
    <w:lvl w:ilvl="0">
      <w:lvlJc w:val="left"/>
      <w:lvlText w:val="(%1)"/>
      <w:numFmt w:val="upperLetter"/>
      <w:start w:val="6"/>
    </w:lvl>
  </w:abstractNum>
  <w:abstractNum w:abstractNumId="118">
    <w:nsid w:val="3F07ACC3"/>
    <w:multiLevelType w:val="hybridMultilevel"/>
    <w:lvl w:ilvl="0">
      <w:lvlJc w:val="left"/>
      <w:lvlText w:val="%1"/>
      <w:numFmt w:val="lowerLetter"/>
      <w:start w:val="1"/>
    </w:lvl>
    <w:lvl w:ilvl="1">
      <w:lvlJc w:val="left"/>
      <w:lvlText w:val="(%2)"/>
      <w:numFmt w:val="upperLetter"/>
      <w:start w:val="1"/>
    </w:lvl>
  </w:abstractNum>
  <w:abstractNum w:abstractNumId="119">
    <w:nsid w:val="6B47F63E"/>
    <w:multiLevelType w:val="hybridMultilevel"/>
    <w:lvl w:ilvl="0">
      <w:lvlJc w:val="left"/>
      <w:lvlText w:val="(%1)"/>
      <w:numFmt w:val="lowerLetter"/>
      <w:start w:val="25"/>
    </w:lvl>
    <w:lvl w:ilvl="1">
      <w:lvlJc w:val="left"/>
      <w:lvlText w:val="(%2)"/>
      <w:numFmt w:val="upperLetter"/>
      <w:start w:val="2"/>
    </w:lvl>
  </w:abstractNum>
  <w:abstractNum w:abstractNumId="120">
    <w:nsid w:val="5CB44A05"/>
    <w:multiLevelType w:val="hybridMultilevel"/>
    <w:lvl w:ilvl="0">
      <w:lvlJc w:val="left"/>
      <w:lvlText w:val="(%1)"/>
      <w:numFmt w:val="upperLetter"/>
      <w:start w:val="1"/>
    </w:lvl>
  </w:abstractNum>
  <w:abstractNum w:abstractNumId="121">
    <w:nsid w:val="16CF80F1"/>
    <w:multiLevelType w:val="hybridMultilevel"/>
    <w:lvl w:ilvl="0">
      <w:lvlJc w:val="left"/>
      <w:lvlText w:val="(%1)"/>
      <w:numFmt w:val="lowerRoman"/>
      <w:start w:val="1"/>
    </w:lvl>
  </w:abstractNum>
  <w:abstractNum w:abstractNumId="122">
    <w:nsid w:val="1C695DEC"/>
    <w:multiLevelType w:val="hybridMultilevel"/>
    <w:lvl w:ilvl="0">
      <w:lvlJc w:val="left"/>
      <w:lvlText w:val="(%1)"/>
      <w:numFmt w:val="upperLetter"/>
      <w:start w:val="2"/>
    </w:lvl>
  </w:abstractNum>
  <w:abstractNum w:abstractNumId="123">
    <w:nsid w:val="3FCFAED9"/>
    <w:multiLevelType w:val="hybridMultilevel"/>
    <w:lvl w:ilvl="0">
      <w:lvlJc w:val="left"/>
      <w:lvlText w:val="%1"/>
      <w:numFmt w:val="lowerRoman"/>
      <w:start w:val="1"/>
    </w:lvl>
    <w:lvl w:ilvl="1">
      <w:lvlJc w:val="left"/>
      <w:lvlText w:val="(%2)"/>
      <w:numFmt w:val="upperLetter"/>
      <w:start w:val="1"/>
    </w:lvl>
  </w:abstractNum>
  <w:abstractNum w:abstractNumId="124">
    <w:nsid w:val="F856867"/>
    <w:multiLevelType w:val="hybridMultilevel"/>
    <w:lvl w:ilvl="0">
      <w:lvlJc w:val="left"/>
      <w:lvlText w:val="(%1)"/>
      <w:numFmt w:val="lowerRoman"/>
      <w:start w:val="2"/>
    </w:lvl>
    <w:lvl w:ilvl="1">
      <w:lvlJc w:val="left"/>
      <w:lvlText w:val="(%2)"/>
      <w:numFmt w:val="upperLetter"/>
      <w:start w:val="3"/>
    </w:lvl>
  </w:abstractNum>
  <w:abstractNum w:abstractNumId="125">
    <w:nsid w:val="11B1CC33"/>
    <w:multiLevelType w:val="hybridMultilevel"/>
    <w:lvl w:ilvl="0">
      <w:lvlJc w:val="left"/>
      <w:lvlText w:val="(%1)"/>
      <w:numFmt w:val="upperLetter"/>
      <w:start w:val="1"/>
    </w:lvl>
    <w:lvl w:ilvl="1">
      <w:lvlJc w:val="left"/>
      <w:lvlText w:val="(%2)"/>
      <w:numFmt w:val="lowerRoman"/>
      <w:start w:val="1"/>
    </w:lvl>
  </w:abstractNum>
  <w:abstractNum w:abstractNumId="126">
    <w:nsid w:val="2E22FBB7"/>
    <w:multiLevelType w:val="hybridMultilevel"/>
    <w:lvl w:ilvl="0">
      <w:lvlJc w:val="left"/>
      <w:lvlText w:val="(%1)"/>
      <w:numFmt w:val="decimal"/>
      <w:start w:val="1"/>
    </w:lvl>
  </w:abstractNum>
  <w:abstractNum w:abstractNumId="127">
    <w:nsid w:val="29934699"/>
    <w:multiLevelType w:val="hybridMultilevel"/>
    <w:lvl w:ilvl="0">
      <w:lvlJc w:val="left"/>
      <w:lvlText w:val="(%1)"/>
      <w:numFmt w:val="upperLetter"/>
      <w:start w:val="2"/>
    </w:lvl>
  </w:abstractNum>
  <w:abstractNum w:abstractNumId="128">
    <w:nsid w:val="77485850"/>
    <w:multiLevelType w:val="hybridMultilevel"/>
    <w:lvl w:ilvl="0">
      <w:lvlJc w:val="left"/>
      <w:lvlText w:val="(%1)"/>
      <w:numFmt w:val="upperLetter"/>
      <w:start w:val="1"/>
    </w:lvl>
  </w:abstractNum>
  <w:abstractNum w:abstractNumId="129">
    <w:nsid w:val="744939A3"/>
    <w:multiLevelType w:val="hybridMultilevel"/>
    <w:lvl w:ilvl="0">
      <w:lvlJc w:val="left"/>
      <w:lvlText w:val="(%1)"/>
      <w:numFmt w:val="upperLetter"/>
      <w:start w:val="1"/>
    </w:lvl>
    <w:lvl w:ilvl="1">
      <w:lvlJc w:val="left"/>
      <w:lvlText w:val="(%2)"/>
      <w:numFmt w:val="lowerRoman"/>
      <w:start w:val="1"/>
    </w:lvl>
  </w:abstractNum>
  <w:abstractNum w:abstractNumId="130">
    <w:nsid w:val="4FA0D2E3"/>
    <w:multiLevelType w:val="hybridMultilevel"/>
    <w:lvl w:ilvl="0">
      <w:lvlJc w:val="left"/>
      <w:lvlText w:val="(%1)"/>
      <w:numFmt w:val="upperLetter"/>
      <w:start w:val="1"/>
    </w:lvl>
    <w:lvl w:ilvl="1">
      <w:lvlJc w:val="left"/>
      <w:lvlText w:val="(%2)"/>
      <w:numFmt w:val="lowerRoman"/>
      <w:start w:val="1"/>
    </w:lvl>
  </w:abstractNum>
  <w:abstractNum w:abstractNumId="131">
    <w:nsid w:val="6B1D2C14"/>
    <w:multiLevelType w:val="hybridMultilevel"/>
    <w:lvl w:ilvl="0">
      <w:lvlJc w:val="left"/>
      <w:lvlText w:val="(%1)"/>
      <w:numFmt w:val="lowerRoman"/>
      <w:start w:val="4"/>
    </w:lvl>
    <w:lvl w:ilvl="1">
      <w:lvlJc w:val="left"/>
      <w:lvlText w:val="(%2)"/>
      <w:numFmt w:val="decimal"/>
      <w:start w:val="1"/>
    </w:lvl>
  </w:abstractNum>
  <w:abstractNum w:abstractNumId="132">
    <w:nsid w:val="68B867D3"/>
    <w:multiLevelType w:val="hybridMultilevel"/>
    <w:lvl w:ilvl="0">
      <w:lvlJc w:val="left"/>
      <w:lvlText w:val="(%1)"/>
      <w:numFmt w:val="lowerRoman"/>
      <w:start w:val="8"/>
    </w:lvl>
    <w:lvl w:ilvl="1">
      <w:lvlJc w:val="left"/>
      <w:lvlText w:val="(%2)"/>
      <w:numFmt w:val="decimal"/>
      <w:start w:val="1"/>
    </w:lvl>
  </w:abstractNum>
  <w:abstractNum w:abstractNumId="133">
    <w:nsid w:val="3F7F5DD9"/>
    <w:multiLevelType w:val="hybridMultilevel"/>
    <w:lvl w:ilvl="0">
      <w:lvlJc w:val="left"/>
      <w:lvlText w:val="(%1)"/>
      <w:numFmt w:val="lowerRoman"/>
      <w:start w:val="10"/>
    </w:lvl>
    <w:lvl w:ilvl="1">
      <w:lvlJc w:val="left"/>
      <w:lvlText w:val="(%2)"/>
      <w:numFmt w:val="decimal"/>
      <w:start w:val="1"/>
    </w:lvl>
  </w:abstractNum>
  <w:abstractNum w:abstractNumId="134">
    <w:nsid w:val="2AE05A34"/>
    <w:multiLevelType w:val="hybridMultilevel"/>
    <w:lvl w:ilvl="0">
      <w:lvlJc w:val="left"/>
      <w:lvlText w:val="%1"/>
      <w:numFmt w:val="upperLetter"/>
      <w:start w:val="1"/>
    </w:lvl>
    <w:lvl w:ilvl="1">
      <w:lvlJc w:val="left"/>
      <w:lvlText w:val="(%2)"/>
      <w:numFmt w:val="lowerRoman"/>
      <w:start w:val="11"/>
    </w:lvl>
  </w:abstractNum>
  <w:abstractNum w:abstractNumId="135">
    <w:nsid w:val="32794FF7"/>
    <w:multiLevelType w:val="hybridMultilevel"/>
    <w:lvl w:ilvl="0">
      <w:lvlJc w:val="left"/>
      <w:lvlText w:val="(%1)"/>
      <w:numFmt w:val="upperLetter"/>
      <w:start w:val="2"/>
    </w:lvl>
    <w:lvl w:ilvl="1">
      <w:lvlJc w:val="left"/>
      <w:lvlText w:val="%2"/>
      <w:numFmt w:val="lowerRoman"/>
      <w:start w:val="1"/>
    </w:lvl>
  </w:abstractNum>
  <w:abstractNum w:abstractNumId="136">
    <w:nsid w:val="5454945E"/>
    <w:multiLevelType w:val="hybridMultilevel"/>
    <w:lvl w:ilvl="0">
      <w:lvlJc w:val="left"/>
      <w:lvlText w:val="(%1)"/>
      <w:numFmt w:val="upperLetter"/>
      <w:start w:val="1"/>
    </w:lvl>
  </w:abstractNum>
  <w:abstractNum w:abstractNumId="137">
    <w:nsid w:val="4DEFDFA0"/>
    <w:multiLevelType w:val="hybridMultilevel"/>
    <w:lvl w:ilvl="0">
      <w:lvlJc w:val="left"/>
      <w:lvlText w:val="(%1)"/>
      <w:numFmt w:val="upperLetter"/>
      <w:start w:val="1"/>
    </w:lvl>
  </w:abstractNum>
  <w:abstractNum w:abstractNumId="138">
    <w:nsid w:val="2123D5F2"/>
    <w:multiLevelType w:val="hybridMultilevel"/>
    <w:lvl w:ilvl="0">
      <w:lvlJc w:val="left"/>
      <w:lvlText w:val="(%1)"/>
      <w:numFmt w:val="upperLetter"/>
      <w:start w:val="1"/>
    </w:lvl>
  </w:abstractNum>
  <w:abstractNum w:abstractNumId="139">
    <w:nsid w:val="135B8110"/>
    <w:multiLevelType w:val="hybridMultilevel"/>
    <w:lvl w:ilvl="0">
      <w:lvlJc w:val="left"/>
      <w:lvlText w:val="(%1)"/>
      <w:numFmt w:val="upperLetter"/>
      <w:start w:val="2"/>
    </w:lvl>
  </w:abstractNum>
  <w:abstractNum w:abstractNumId="140">
    <w:nsid w:val="94927A8"/>
    <w:multiLevelType w:val="hybridMultilevel"/>
    <w:lvl w:ilvl="0">
      <w:lvlJc w:val="left"/>
      <w:lvlText w:val="(%1)"/>
      <w:numFmt w:val="upperLetter"/>
      <w:start w:val="2"/>
    </w:lvl>
  </w:abstractNum>
  <w:abstractNum w:abstractNumId="141">
    <w:nsid w:val="DCDF8F6"/>
    <w:multiLevelType w:val="hybridMultilevel"/>
    <w:lvl w:ilvl="0">
      <w:lvlJc w:val="left"/>
      <w:lvlText w:val="(%1)"/>
      <w:numFmt w:val="upperLetter"/>
      <w:start w:val="1"/>
    </w:lvl>
  </w:abstractNum>
  <w:abstractNum w:abstractNumId="142">
    <w:nsid w:val="52D7B105"/>
    <w:multiLevelType w:val="hybridMultilevel"/>
    <w:lvl w:ilvl="0">
      <w:lvlJc w:val="left"/>
      <w:lvlText w:val="(%1)"/>
      <w:numFmt w:val="upperLetter"/>
      <w:start w:val="1"/>
    </w:lvl>
    <w:lvl w:ilvl="1">
      <w:lvlJc w:val="left"/>
      <w:lvlText w:val="(%2)"/>
      <w:numFmt w:val="lowerRoman"/>
      <w:start w:val="1"/>
    </w:lvl>
  </w:abstractNum>
  <w:abstractNum w:abstractNumId="143">
    <w:nsid w:val="2E8A6394"/>
    <w:multiLevelType w:val="hybridMultilevel"/>
    <w:lvl w:ilvl="0">
      <w:lvlJc w:val="left"/>
      <w:lvlText w:val="(%1)"/>
      <w:numFmt w:val="lowerRoman"/>
      <w:start w:val="16"/>
    </w:lvl>
  </w:abstractNum>
  <w:abstractNum w:abstractNumId="144">
    <w:nsid w:val="24E60401"/>
    <w:multiLevelType w:val="hybridMultilevel"/>
    <w:lvl w:ilvl="0">
      <w:lvlJc w:val="left"/>
      <w:lvlText w:val="(%1)"/>
      <w:numFmt w:val="lowerRoman"/>
      <w:start w:val="1"/>
    </w:lvl>
  </w:abstractNum>
  <w:abstractNum w:abstractNumId="145">
    <w:nsid w:val="2A6AD9BE"/>
    <w:multiLevelType w:val="hybridMultilevel"/>
    <w:lvl w:ilvl="0">
      <w:lvlJc w:val="left"/>
      <w:lvlText w:val="(%1)"/>
      <w:numFmt w:val="upperLetter"/>
      <w:start w:val="2"/>
    </w:lvl>
  </w:abstractNum>
  <w:abstractNum w:abstractNumId="146">
    <w:nsid w:val="BAAC1B4"/>
    <w:multiLevelType w:val="hybridMultilevel"/>
    <w:lvl w:ilvl="0">
      <w:lvlJc w:val="left"/>
      <w:lvlText w:val="(%1)"/>
      <w:numFmt w:val="upperLetter"/>
      <w:start w:val="3"/>
    </w:lvl>
  </w:abstractNum>
  <w:abstractNum w:abstractNumId="147">
    <w:nsid w:val="36B2ACBC"/>
    <w:multiLevelType w:val="hybridMultilevel"/>
    <w:lvl w:ilvl="0">
      <w:lvlJc w:val="left"/>
      <w:lvlText w:val="(%1)"/>
      <w:numFmt w:val="upperLetter"/>
      <w:start w:val="1"/>
    </w:lvl>
  </w:abstractNum>
  <w:abstractNum w:abstractNumId="148">
    <w:nsid w:val="779D8544"/>
    <w:multiLevelType w:val="hybridMultilevel"/>
    <w:lvl w:ilvl="0">
      <w:lvlJc w:val="left"/>
      <w:lvlText w:val="(%1)"/>
      <w:numFmt w:val="upperLetter"/>
      <w:start w:val="1"/>
    </w:lvl>
  </w:abstractNum>
  <w:abstractNum w:abstractNumId="149">
    <w:nsid w:val="4AB26E78"/>
    <w:multiLevelType w:val="hybridMultilevel"/>
    <w:lvl w:ilvl="0">
      <w:lvlJc w:val="left"/>
      <w:lvlText w:val="(%1)"/>
      <w:numFmt w:val="upperLetter"/>
      <w:start w:val="1"/>
    </w:lvl>
    <w:lvl w:ilvl="1">
      <w:lvlJc w:val="left"/>
      <w:lvlText w:val="(%2)"/>
      <w:numFmt w:val="lowerRoman"/>
      <w:start w:val="1"/>
    </w:lvl>
  </w:abstractNum>
  <w:abstractNum w:abstractNumId="150">
    <w:nsid w:val="21FAA2FA"/>
    <w:multiLevelType w:val="hybridMultilevel"/>
    <w:lvl w:ilvl="0">
      <w:lvlJc w:val="left"/>
      <w:lvlText w:val="(%1)"/>
      <w:numFmt w:val="upperLetter"/>
      <w:start w:val="4"/>
    </w:lvl>
  </w:abstractNum>
  <w:abstractNum w:abstractNumId="151">
    <w:nsid w:val="5451CF49"/>
    <w:multiLevelType w:val="hybridMultilevel"/>
    <w:lvl w:ilvl="0">
      <w:lvlJc w:val="left"/>
      <w:lvlText w:val="(%1)"/>
      <w:numFmt w:val="upperLetter"/>
      <w:start w:val="1"/>
    </w:lvl>
  </w:abstractNum>
  <w:abstractNum w:abstractNumId="152">
    <w:nsid w:val="6181EF69"/>
    <w:multiLevelType w:val="hybridMultilevel"/>
    <w:lvl w:ilvl="0">
      <w:lvlJc w:val="left"/>
      <w:lvlText w:val="(%1)"/>
      <w:numFmt w:val="upperLetter"/>
      <w:start w:val="8"/>
    </w:lvl>
  </w:abstractNum>
  <w:abstractNum w:abstractNumId="153">
    <w:nsid w:val="3E6400E6"/>
    <w:multiLevelType w:val="hybridMultilevel"/>
    <w:lvl w:ilvl="0">
      <w:lvlJc w:val="left"/>
      <w:lvlText w:val="(%1)"/>
      <w:numFmt w:val="upperLetter"/>
      <w:start w:val="1"/>
    </w:lvl>
  </w:abstractNum>
  <w:abstractNum w:abstractNumId="154">
    <w:nsid w:val="14217E23"/>
    <w:multiLevelType w:val="hybridMultilevel"/>
    <w:lvl w:ilvl="0">
      <w:lvlJc w:val="left"/>
      <w:lvlText w:val="(%1)"/>
      <w:numFmt w:val="upperLetter"/>
      <w:start w:val="1"/>
    </w:lvl>
  </w:abstractNum>
  <w:abstractNum w:abstractNumId="155">
    <w:nsid w:val="710757D0"/>
    <w:multiLevelType w:val="hybridMultilevel"/>
    <w:lvl w:ilvl="0">
      <w:lvlJc w:val="left"/>
      <w:lvlText w:val="(%1)"/>
      <w:numFmt w:val="upperLetter"/>
      <w:start w:val="2"/>
    </w:lvl>
    <w:lvl w:ilvl="1">
      <w:lvlJc w:val="left"/>
      <w:lvlText w:val="(%2)"/>
      <w:numFmt w:val="lowerRoman"/>
      <w:start w:val="1"/>
    </w:lvl>
  </w:abstractNum>
  <w:abstractNum w:abstractNumId="156">
    <w:nsid w:val="5015CD1A"/>
    <w:multiLevelType w:val="hybridMultilevel"/>
    <w:lvl w:ilvl="0">
      <w:lvlJc w:val="left"/>
      <w:lvlText w:val="(%1)"/>
      <w:numFmt w:val="upperLetter"/>
      <w:start w:val="1"/>
    </w:lvl>
  </w:abstractNum>
  <w:abstractNum w:abstractNumId="157">
    <w:nsid w:val="424479DA"/>
    <w:multiLevelType w:val="hybridMultilevel"/>
    <w:lvl w:ilvl="0">
      <w:lvlJc w:val="left"/>
      <w:lvlText w:val="(%1)"/>
      <w:numFmt w:val="upperLetter"/>
      <w:start w:val="2"/>
    </w:lvl>
  </w:abstractNum>
  <w:abstractNum w:abstractNumId="158">
    <w:nsid w:val="1A9A9E69"/>
    <w:multiLevelType w:val="hybridMultilevel"/>
    <w:lvl w:ilvl="0">
      <w:lvlJc w:val="left"/>
      <w:lvlText w:val="(%1)"/>
      <w:numFmt w:val="upperLetter"/>
      <w:start w:val="1"/>
    </w:lvl>
    <w:lvl w:ilvl="1">
      <w:lvlJc w:val="left"/>
      <w:lvlText w:val="(%2)"/>
      <w:numFmt w:val="lowerRoman"/>
      <w:start w:val="1"/>
    </w:lvl>
  </w:abstractNum>
  <w:abstractNum w:abstractNumId="159">
    <w:nsid w:val="475E256A"/>
    <w:multiLevelType w:val="hybridMultilevel"/>
    <w:lvl w:ilvl="0">
      <w:lvlJc w:val="left"/>
      <w:lvlText w:val="(%1)"/>
      <w:numFmt w:val="upperLetter"/>
      <w:start w:val="1"/>
    </w:lvl>
    <w:lvl w:ilvl="1">
      <w:lvlJc w:val="left"/>
      <w:lvlText w:val="(%2)"/>
      <w:numFmt w:val="lowerRoman"/>
      <w:start w:val="1"/>
    </w:lvl>
  </w:abstractNum>
  <w:abstractNum w:abstractNumId="160">
    <w:nsid w:val="368DB37E"/>
    <w:multiLevelType w:val="hybridMultilevel"/>
    <w:lvl w:ilvl="0">
      <w:lvlJc w:val="left"/>
      <w:lvlText w:val="(%1)"/>
      <w:numFmt w:val="upperLetter"/>
      <w:start w:val="5"/>
    </w:lvl>
  </w:abstractNum>
  <w:abstractNum w:abstractNumId="161">
    <w:nsid w:val="6A3B714C"/>
    <w:multiLevelType w:val="hybridMultilevel"/>
    <w:lvl w:ilvl="0">
      <w:lvlJc w:val="left"/>
      <w:lvlText w:val="(%1)"/>
      <w:numFmt w:val="lowerRoman"/>
      <w:start w:val="2"/>
    </w:lvl>
  </w:abstractNum>
  <w:abstractNum w:abstractNumId="162">
    <w:nsid w:val="327B517E"/>
    <w:multiLevelType w:val="hybridMultilevel"/>
    <w:lvl w:ilvl="0">
      <w:lvlJc w:val="left"/>
      <w:lvlText w:val="%1"/>
      <w:numFmt w:val="lowerRoman"/>
      <w:start w:val="1"/>
    </w:lvl>
    <w:lvl w:ilvl="1">
      <w:lvlJc w:val="left"/>
      <w:lvlText w:val="(%2)"/>
      <w:numFmt w:val="upperLetter"/>
      <w:start w:val="1"/>
    </w:lvl>
  </w:abstractNum>
  <w:abstractNum w:abstractNumId="163">
    <w:nsid w:val="1F461B51"/>
    <w:multiLevelType w:val="hybridMultilevel"/>
    <w:lvl w:ilvl="0">
      <w:lvlJc w:val="left"/>
      <w:lvlText w:val="(%1)"/>
      <w:numFmt w:val="lowerRoman"/>
      <w:start w:val="5"/>
    </w:lvl>
    <w:lvl w:ilvl="1">
      <w:lvlJc w:val="left"/>
      <w:lvlText w:val="%2"/>
      <w:numFmt w:val="upperLetter"/>
      <w:start w:val="1"/>
    </w:lvl>
  </w:abstractNum>
  <w:abstractNum w:abstractNumId="164">
    <w:nsid w:val="29BACF25"/>
    <w:multiLevelType w:val="hybridMultilevel"/>
    <w:lvl w:ilvl="0">
      <w:lvlJc w:val="left"/>
      <w:lvlText w:val="(%1)"/>
      <w:numFmt w:val="upperLetter"/>
      <w:start w:val="3"/>
    </w:lvl>
  </w:abstractNum>
  <w:abstractNum w:abstractNumId="165">
    <w:nsid w:val="5D5BABB3"/>
    <w:multiLevelType w:val="hybridMultilevel"/>
    <w:lvl w:ilvl="0">
      <w:lvlJc w:val="left"/>
      <w:lvlText w:val="(%1)"/>
      <w:numFmt w:val="upperLetter"/>
      <w:start w:val="1"/>
    </w:lvl>
    <w:lvl w:ilvl="1">
      <w:lvlJc w:val="left"/>
      <w:lvlText w:val="(%2)"/>
      <w:numFmt w:val="decimal"/>
      <w:start w:val="1"/>
    </w:lvl>
  </w:abstractNum>
  <w:abstractNum w:abstractNumId="166">
    <w:nsid w:val="51BF6B48"/>
    <w:multiLevelType w:val="hybridMultilevel"/>
    <w:lvl w:ilvl="0">
      <w:lvlJc w:val="left"/>
      <w:lvlText w:val="%1"/>
      <w:numFmt w:val="upperLetter"/>
      <w:start w:val="1"/>
    </w:lvl>
    <w:lvl w:ilvl="1">
      <w:lvlJc w:val="left"/>
      <w:lvlText w:val="(%2)"/>
      <w:numFmt w:val="decimal"/>
      <w:start w:val="2"/>
    </w:lvl>
  </w:abstractNum>
  <w:abstractNum w:abstractNumId="167">
    <w:nsid w:val="7E0F6384"/>
    <w:multiLevelType w:val="hybridMultilevel"/>
    <w:lvl w:ilvl="0">
      <w:lvlJc w:val="left"/>
      <w:lvlText w:val="(%1)"/>
      <w:numFmt w:val="upperLetter"/>
      <w:start w:val="2"/>
    </w:lvl>
    <w:lvl w:ilvl="1">
      <w:lvlJc w:val="left"/>
      <w:lvlText w:val="%2"/>
      <w:numFmt w:val="decimal"/>
      <w:start w:val="1"/>
    </w:lvl>
  </w:abstractNum>
  <w:abstractNum w:abstractNumId="168">
    <w:nsid w:val="2B4B8B53"/>
    <w:multiLevelType w:val="hybridMultilevel"/>
    <w:lvl w:ilvl="0">
      <w:lvlJc w:val="left"/>
      <w:lvlText w:val="(%1)"/>
      <w:numFmt w:val="upperLetter"/>
      <w:start w:val="1"/>
    </w:lvl>
    <w:lvl w:ilvl="1">
      <w:lvlJc w:val="left"/>
      <w:lvlText w:val="(%2)"/>
      <w:numFmt w:val="lowerRoman"/>
      <w:start w:val="1"/>
    </w:lvl>
  </w:abstractNum>
  <w:abstractNum w:abstractNumId="169">
    <w:nsid w:val="72E3413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170">
    <w:nsid w:val="116AE494"/>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71">
    <w:nsid w:val="3494B2F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72">
    <w:nsid w:val="B13A31"/>
    <w:multiLevelType w:val="hybridMultilevel"/>
    <w:lvl w:ilvl="0">
      <w:lvlJc w:val="left"/>
      <w:lvlText w:val="(%1)"/>
      <w:numFmt w:val="upperLetter"/>
      <w:start w:val="1"/>
    </w:lvl>
  </w:abstractNum>
  <w:abstractNum w:abstractNumId="173">
    <w:nsid w:val="64429599"/>
    <w:multiLevelType w:val="hybridMultilevel"/>
    <w:lvl w:ilvl="0">
      <w:lvlJc w:val="left"/>
      <w:lvlText w:val="(%1)"/>
      <w:numFmt w:val="upperLetter"/>
      <w:start w:val="1"/>
    </w:lvl>
  </w:abstractNum>
  <w:abstractNum w:abstractNumId="174">
    <w:nsid w:val="631F1690"/>
    <w:multiLevelType w:val="hybridMultilevel"/>
    <w:lvl w:ilvl="0">
      <w:lvlJc w:val="left"/>
      <w:lvlText w:val="(%1)"/>
      <w:numFmt w:val="upperLetter"/>
      <w:start w:val="3"/>
    </w:lvl>
  </w:abstractNum>
  <w:abstractNum w:abstractNumId="175">
    <w:nsid w:val="25973E3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76">
    <w:nsid w:val="EAD6F57"/>
    <w:multiLevelType w:val="hybridMultilevel"/>
    <w:lvl w:ilvl="0">
      <w:lvlJc w:val="left"/>
      <w:lvlText w:val="(%1)"/>
      <w:numFmt w:val="lowerRoman"/>
      <w:start w:val="1"/>
    </w:lvl>
  </w:abstractNum>
  <w:abstractNum w:abstractNumId="177">
    <w:nsid w:val="6EC9D844"/>
    <w:multiLevelType w:val="hybridMultilevel"/>
    <w:lvl w:ilvl="0">
      <w:lvlJc w:val="left"/>
      <w:lvlText w:val="(%1)"/>
      <w:numFmt w:val="lowerRoman"/>
      <w:start w:val="1"/>
    </w:lvl>
    <w:lvl w:ilvl="1">
      <w:lvlJc w:val="left"/>
      <w:lvlText w:val="(%2)"/>
      <w:numFmt w:val="lowerLetter"/>
      <w:start w:val="1"/>
    </w:lvl>
  </w:abstractNum>
  <w:abstractNum w:abstractNumId="178">
    <w:nsid w:val="5C49EAEE"/>
    <w:multiLevelType w:val="hybridMultilevel"/>
    <w:lvl w:ilvl="0">
      <w:lvlJc w:val="left"/>
      <w:lvlText w:val="(%1)"/>
      <w:numFmt w:val="lowerRoman"/>
      <w:start w:val="3"/>
    </w:lvl>
  </w:abstractNum>
  <w:abstractNum w:abstractNumId="179">
    <w:nsid w:val="64AF49B"/>
    <w:multiLevelType w:val="hybridMultilevel"/>
    <w:lvl w:ilvl="0">
      <w:lvlJc w:val="left"/>
      <w:lvlText w:val="1"/>
      <w:numFmt w:val="bullet"/>
      <w:start w:val="1"/>
    </w:lvl>
  </w:abstractNum>
  <w:abstractNum w:abstractNumId="180">
    <w:nsid w:val="397C46BC"/>
    <w:multiLevelType w:val="hybridMultilevel"/>
    <w:lvl w:ilvl="0">
      <w:lvlJc w:val="left"/>
      <w:lvlText w:val="%1."/>
      <w:numFmt w:val="decimal"/>
      <w:start w:val="1"/>
    </w:lvl>
  </w:abstractNum>
  <w:abstractNum w:abstractNumId="181">
    <w:nsid w:val="7E448DE9"/>
    <w:multiLevelType w:val="hybridMultilevel"/>
    <w:lvl w:ilvl="0">
      <w:lvlJc w:val="left"/>
      <w:lvlText w:val="%1."/>
      <w:numFmt w:val="decimal"/>
      <w:start w:val="12"/>
    </w:lvl>
    <w:lvl w:ilvl="1">
      <w:lvlJc w:val="left"/>
      <w:lvlText w:val="*"/>
      <w:numFmt w:val="bullet"/>
      <w:start w:val="1"/>
    </w:lvl>
  </w:abstractNum>
  <w:abstractNum w:abstractNumId="182">
    <w:nsid w:val="5A9CC3E5"/>
    <w:multiLevelType w:val="hybridMultilevel"/>
    <w:lvl w:ilvl="0">
      <w:lvlJc w:val="left"/>
      <w:lvlText w:val="2"/>
      <w:numFmt w:val="bullet"/>
      <w:start w:val="1"/>
    </w:lvl>
  </w:abstractNum>
  <w:abstractNum w:abstractNumId="183">
    <w:nsid w:val="1AFE3625"/>
    <w:multiLevelType w:val="hybridMultilevel"/>
    <w:lvl w:ilvl="0">
      <w:lvlJc w:val="left"/>
      <w:lvlText w:val="o"/>
      <w:numFmt w:val="bullet"/>
      <w:start w:val="1"/>
    </w:lvl>
  </w:abstractNum>
  <w:abstractNum w:abstractNumId="184">
    <w:nsid w:val="3CA88ECF"/>
    <w:multiLevelType w:val="hybridMultilevel"/>
    <w:lvl w:ilvl="0">
      <w:lvlJc w:val="left"/>
      <w:lvlText w:val="3"/>
      <w:numFmt w:val="bullet"/>
      <w:start w:val="1"/>
    </w:lvl>
  </w:abstractNum>
  <w:abstractNum w:abstractNumId="185">
    <w:nsid w:val="6EBE4208"/>
    <w:multiLevelType w:val="hybridMultilevel"/>
    <w:lvl w:ilvl="0">
      <w:lvlJc w:val="left"/>
      <w:lvlText w:val="o"/>
      <w:numFmt w:val="bullet"/>
      <w:start w:val="1"/>
    </w:lvl>
  </w:abstractNum>
  <w:abstractNum w:abstractNumId="186">
    <w:nsid w:val="C058DF5"/>
    <w:multiLevelType w:val="hybridMultilevel"/>
    <w:lvl w:ilvl="0">
      <w:lvlJc w:val="left"/>
      <w:lvlText w:val="4"/>
      <w:numFmt w:val="bullet"/>
      <w:start w:val="1"/>
    </w:lvl>
  </w:abstractNum>
  <w:abstractNum w:abstractNumId="187">
    <w:nsid w:val="CBE5BE9"/>
    <w:multiLevelType w:val="hybridMultilevel"/>
    <w:lvl w:ilvl="0">
      <w:lvlJc w:val="left"/>
      <w:lvlText w:val="o"/>
      <w:numFmt w:val="bullet"/>
      <w:start w:val="1"/>
    </w:lvl>
  </w:abstractNum>
  <w:abstractNum w:abstractNumId="188">
    <w:nsid w:val="3102BBE2"/>
    <w:multiLevelType w:val="hybridMultilevel"/>
    <w:lvl w:ilvl="0">
      <w:lvlJc w:val="left"/>
      <w:lvlText w:val="5"/>
      <w:numFmt w:val="bullet"/>
      <w:start w:val="1"/>
    </w:lvl>
  </w:abstractNum>
  <w:abstractNum w:abstractNumId="189">
    <w:nsid w:val="26A02C5E"/>
    <w:multiLevelType w:val="hybridMultilevel"/>
    <w:lvl w:ilvl="0">
      <w:lvlJc w:val="left"/>
      <w:lvlText w:val="%1."/>
      <w:numFmt w:val="decimal"/>
      <w:start w:val="1"/>
    </w:lvl>
  </w:abstractNum>
  <w:abstractNum w:abstractNumId="190">
    <w:nsid w:val="541C8153"/>
    <w:multiLevelType w:val="hybridMultilevel"/>
    <w:lvl w:ilvl="0">
      <w:lvlJc w:val="left"/>
      <w:lvlText w:val="(%1)"/>
      <w:numFmt w:val="decimal"/>
      <w:start w:val="1"/>
    </w:lvl>
    <w:lvl w:ilvl="1">
      <w:lvlJc w:val="left"/>
      <w:lvlText w:val="(%2)"/>
      <w:numFmt w:val="upperLetter"/>
      <w:start w:val="1"/>
    </w:lvl>
  </w:abstractNum>
  <w:abstractNum w:abstractNumId="191">
    <w:nsid w:val="67906F60"/>
    <w:multiLevelType w:val="hybridMultilevel"/>
    <w:lvl w:ilvl="0">
      <w:lvlJc w:val="left"/>
      <w:lvlText w:val="%1."/>
      <w:numFmt w:val="decimal"/>
      <w:start w:val="1"/>
    </w:lvl>
  </w:abstractNum>
  <w:abstractNum w:abstractNumId="192">
    <w:nsid w:val="10DB9DAA"/>
    <w:multiLevelType w:val="hybridMultilevel"/>
    <w:lvl w:ilvl="0">
      <w:lvlJc w:val="left"/>
      <w:lvlText w:val="%1."/>
      <w:numFmt w:val="decimal"/>
      <w:start w:val="5"/>
    </w:lvl>
  </w:abstractNum>
  <w:abstractNum w:abstractNumId="193">
    <w:nsid w:val="697D2D2"/>
    <w:multiLevelType w:val="hybridMultilevel"/>
    <w:lvl w:ilvl="0">
      <w:lvlJc w:val="left"/>
      <w:lvlText w:val="%1."/>
      <w:numFmt w:val="decimal"/>
      <w:start w:val="1"/>
    </w:lvl>
  </w:abstractNum>
  <w:abstractNum w:abstractNumId="194">
    <w:nsid w:val="6D68AB2"/>
    <w:multiLevelType w:val="hybridMultilevel"/>
    <w:lvl w:ilvl="0">
      <w:lvlJc w:val="left"/>
      <w:lvlText w:val="%1."/>
      <w:numFmt w:val="decimal"/>
      <w:start w:val="4"/>
    </w:lvl>
  </w:abstractNum>
  <w:abstractNum w:abstractNumId="195">
    <w:nsid w:val="3A966CD0"/>
    <w:multiLevelType w:val="hybridMultilevel"/>
    <w:lvl w:ilvl="0">
      <w:lvlJc w:val="left"/>
      <w:lvlText w:val="%1."/>
      <w:numFmt w:val="decimal"/>
      <w:start w:val="10"/>
    </w:lvl>
  </w:abstractNum>
  <w:abstractNum w:abstractNumId="196">
    <w:nsid w:val="63F37E85"/>
    <w:multiLevelType w:val="hybridMultilevel"/>
    <w:lvl w:ilvl="0">
      <w:lvlJc w:val="left"/>
      <w:lvlText w:val="%1."/>
      <w:numFmt w:val="decimal"/>
      <w:start w:val="11"/>
    </w:lvl>
  </w:abstractNum>
  <w:abstractNum w:abstractNumId="197">
    <w:nsid w:val="5895F5FA"/>
    <w:multiLevelType w:val="hybridMultilevel"/>
    <w:lvl w:ilvl="0">
      <w:lvlJc w:val="left"/>
      <w:lvlText w:val="%1."/>
      <w:numFmt w:val="upperLetter"/>
      <w:start w:val="1"/>
    </w:lvl>
    <w:lvl w:ilvl="1">
      <w:lvlJc w:val="left"/>
      <w:lvlText w:val="·"/>
      <w:numFmt w:val="bullet"/>
      <w:start w:val="1"/>
    </w:lvl>
  </w:abstractNum>
  <w:abstractNum w:abstractNumId="198">
    <w:nsid w:val="38A5D054"/>
    <w:multiLevelType w:val="hybridMultilevel"/>
    <w:lvl w:ilvl="0">
      <w:lvlJc w:val="left"/>
      <w:lvlText w:val="%1."/>
      <w:numFmt w:val="upperLetter"/>
      <w:start w:val="9"/>
    </w:lvl>
  </w:abstractNum>
  <w:abstractNum w:abstractNumId="199">
    <w:nsid w:val="F3F09D8"/>
    <w:multiLevelType w:val="hybridMultilevel"/>
    <w:lvl w:ilvl="0">
      <w:lvlJc w:val="left"/>
      <w:lvlText w:val="%1."/>
      <w:numFmt w:val="upperLetter"/>
      <w:start w:val="35"/>
    </w:lvl>
  </w:abstractNum>
  <w:abstractNum w:abstractNumId="200">
    <w:nsid w:val="4B793735"/>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2025-05-21T15:22:00Z</dcterms:created>
  <dcterms:modified xsi:type="dcterms:W3CDTF">2025-05-21T15:22:00Z</dcterms:modified>
</cp:coreProperties>
</file>