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Beauty Health Company</w:t>
      </w:r>
    </w:p>
    <w:p>
      <w:pPr>
        <w:spacing w:after="0" w:line="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001-39565</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85-1908962</w:t>
            </w:r>
          </w:p>
        </w:tc>
      </w:tr>
      <w:tr>
        <w:trPr>
          <w:trHeight w:val="205"/>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2165 Spring Street</w:t>
            </w: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Long Beach, CA</w:t>
            </w:r>
          </w:p>
        </w:tc>
        <w:tc>
          <w:tcPr>
            <w:tcW w:w="3820" w:type="dxa"/>
            <w:vAlign w:val="bottom"/>
          </w:tcPr>
          <w:p>
            <w:pPr>
              <w:spacing w:after="0"/>
              <w:rPr>
                <w:sz w:val="18"/>
                <w:szCs w:val="18"/>
                <w:color w:val="auto"/>
              </w:rPr>
            </w:pPr>
          </w:p>
        </w:tc>
        <w:tc>
          <w:tcPr>
            <w:tcW w:w="224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90806</w:t>
            </w:r>
          </w:p>
        </w:tc>
      </w:tr>
      <w:tr>
        <w:trPr>
          <w:trHeight w:val="21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20" w:type="dxa"/>
            <w:vAlign w:val="bottom"/>
          </w:tcPr>
          <w:p>
            <w:pPr>
              <w:spacing w:after="0"/>
              <w:rPr>
                <w:sz w:val="18"/>
                <w:szCs w:val="18"/>
                <w:color w:val="auto"/>
              </w:rPr>
            </w:pPr>
          </w:p>
        </w:tc>
        <w:tc>
          <w:tcPr>
            <w:tcW w:w="2240" w:type="dxa"/>
            <w:vAlign w:val="bottom"/>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900" w:type="dxa"/>
            <w:vAlign w:val="bottom"/>
          </w:tcPr>
          <w:p>
            <w:pPr>
              <w:spacing w:after="0"/>
              <w:rPr>
                <w:sz w:val="24"/>
                <w:szCs w:val="24"/>
                <w:color w:val="auto"/>
              </w:rPr>
            </w:pPr>
          </w:p>
        </w:tc>
        <w:tc>
          <w:tcPr>
            <w:tcW w:w="382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 603-4996</w:t>
            </w:r>
          </w:p>
        </w:tc>
        <w:tc>
          <w:tcPr>
            <w:tcW w:w="224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382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40" w:type="dxa"/>
            <w:vAlign w:val="bottom"/>
          </w:tcPr>
          <w:p>
            <w:pPr>
              <w:spacing w:after="0"/>
              <w:rPr>
                <w:sz w:val="16"/>
                <w:szCs w:val="16"/>
                <w:color w:val="auto"/>
              </w:rPr>
            </w:pP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403"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14"/>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SKIN</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238"/>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10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2025, The Beauty Health Company (the “Company”) issued a press release and will hold a conference call regarding its financial results for its fiscal quarter and year ended December 31, 2024. A copy of the press release is furnished as Exhibit 99.1 to this Current Report on Form 8-K.</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making reference to non-GAAP financial information in both the press release and the conference call. A reconciliation of GAAP to non-GAAP results is provided in the attached Exhibit 99.1 press release.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and on the Company’s investor relations website (https://investors.beautyhealth.com/) as means of disclosing material non-public information and for complying with its disclosure obligations under Regulation FD.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2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0000FF"/>
                <w:w w:val="92"/>
              </w:rPr>
              <w:t>99.</w:t>
            </w:r>
            <w:r>
              <w:rPr>
                <w:rFonts w:ascii="Times New Roman" w:cs="Times New Roman" w:eastAsia="Times New Roman" w:hAnsi="Times New Roman"/>
                <w:sz w:val="16"/>
                <w:szCs w:val="16"/>
                <w:u w:val="single" w:color="auto"/>
                <w:color w:val="0000FF"/>
                <w:w w:val="92"/>
              </w:rPr>
              <w:t>1</w:t>
            </w:r>
          </w:p>
        </w:tc>
        <w:tc>
          <w:tcPr>
            <w:tcW w:w="19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Press Release, dated March 12, 2025</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390"/>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2025</w:t>
            </w:r>
          </w:p>
        </w:tc>
        <w:tc>
          <w:tcPr>
            <w:tcW w:w="76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The Beauty Health Company</w:t>
            </w:r>
          </w:p>
        </w:tc>
        <w:tc>
          <w:tcPr>
            <w:tcW w:w="0" w:type="dxa"/>
            <w:vAlign w:val="bottom"/>
          </w:tcPr>
          <w:p>
            <w:pPr>
              <w:spacing w:after="0"/>
              <w:rPr>
                <w:sz w:val="1"/>
                <w:szCs w:val="1"/>
                <w:color w:val="auto"/>
              </w:rPr>
            </w:pPr>
          </w:p>
        </w:tc>
      </w:tr>
      <w:tr>
        <w:trPr>
          <w:trHeight w:val="527"/>
        </w:trPr>
        <w:tc>
          <w:tcPr>
            <w:tcW w:w="3560" w:type="dxa"/>
            <w:vAlign w:val="bottom"/>
          </w:tcPr>
          <w:p>
            <w:pPr>
              <w:spacing w:after="0"/>
              <w:rPr>
                <w:sz w:val="24"/>
                <w:szCs w:val="24"/>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Monahan</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60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Monahan</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BeautyHealth Reports Full Year and Fourth Quarter 2024 Financial Results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 xml:space="preserve">Delivers fourth quarter and full year net sales of </w:t>
      </w:r>
      <w:r>
        <w:rPr>
          <w:rFonts w:ascii="Calibri" w:cs="Calibri" w:eastAsia="Calibri" w:hAnsi="Calibri"/>
          <w:sz w:val="20"/>
          <w:szCs w:val="20"/>
          <w:color w:val="auto"/>
        </w:rPr>
        <w:t>$83.5 million and $334.3 million</w:t>
      </w:r>
    </w:p>
    <w:p>
      <w:pPr>
        <w:spacing w:after="0" w:line="279" w:lineRule="exact"/>
        <w:rPr>
          <w:sz w:val="20"/>
          <w:szCs w:val="20"/>
          <w:color w:val="auto"/>
        </w:rPr>
      </w:pPr>
    </w:p>
    <w:p>
      <w:pPr>
        <w:ind w:right="20"/>
        <w:spacing w:after="0" w:line="221" w:lineRule="auto"/>
        <w:rPr>
          <w:sz w:val="20"/>
          <w:szCs w:val="20"/>
          <w:color w:val="auto"/>
        </w:rPr>
      </w:pPr>
      <w:r>
        <w:rPr>
          <w:rFonts w:ascii="Calibri" w:cs="Calibri" w:eastAsia="Calibri" w:hAnsi="Calibri"/>
          <w:sz w:val="20"/>
          <w:szCs w:val="20"/>
          <w:b w:val="1"/>
          <w:bCs w:val="1"/>
          <w:color w:val="auto"/>
        </w:rPr>
        <w:t xml:space="preserve">Long Beach, Calif., </w:t>
      </w:r>
      <w:r>
        <w:rPr>
          <w:rFonts w:ascii="Calibri" w:cs="Calibri" w:eastAsia="Calibri" w:hAnsi="Calibri"/>
          <w:sz w:val="20"/>
          <w:szCs w:val="20"/>
          <w:color w:val="auto"/>
        </w:rPr>
        <w:t>March 12, 2025 – The Beauty Health Company (NASDAQ: SKIN) (“BeautyHealth”), home to fagship brand Hydrafacial,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today announced fnancial results for the fourth quarter ended December 31, 2024 (“Q4 2024”).</w:t>
      </w:r>
    </w:p>
    <w:p>
      <w:pPr>
        <w:spacing w:after="0" w:line="239" w:lineRule="exact"/>
        <w:rPr>
          <w:sz w:val="20"/>
          <w:szCs w:val="20"/>
          <w:color w:val="auto"/>
        </w:rPr>
      </w:pPr>
    </w:p>
    <w:p>
      <w:pPr>
        <w:ind w:right="180"/>
        <w:spacing w:after="0" w:line="220" w:lineRule="auto"/>
        <w:rPr>
          <w:sz w:val="20"/>
          <w:szCs w:val="20"/>
          <w:color w:val="auto"/>
        </w:rPr>
      </w:pPr>
      <w:r>
        <w:rPr>
          <w:rFonts w:ascii="Calibri" w:cs="Calibri" w:eastAsia="Calibri" w:hAnsi="Calibri"/>
          <w:sz w:val="20"/>
          <w:szCs w:val="20"/>
          <w:color w:val="auto"/>
        </w:rPr>
        <w:t>“In Q4 2024, we contnued to strengthen our fnancial positon, exceeding the high end of our guidance for both net sales and adjusted EBITDA,” said CEO Marla Beck. “We increased consumable sales, expanded our gross margins and contnued to reduce our operatng expenses, delivering $9 million of adjusted EBITDA in the quarter. We now have over 34,000 global delivery systems serving our large provider base.”</w:t>
      </w:r>
    </w:p>
    <w:p>
      <w:pPr>
        <w:spacing w:after="0" w:line="239" w:lineRule="exact"/>
        <w:rPr>
          <w:sz w:val="20"/>
          <w:szCs w:val="20"/>
          <w:color w:val="auto"/>
        </w:rPr>
      </w:pPr>
    </w:p>
    <w:p>
      <w:pPr>
        <w:ind w:right="280"/>
        <w:spacing w:after="0" w:line="218" w:lineRule="auto"/>
        <w:rPr>
          <w:sz w:val="20"/>
          <w:szCs w:val="20"/>
          <w:color w:val="auto"/>
        </w:rPr>
      </w:pPr>
      <w:r>
        <w:rPr>
          <w:rFonts w:ascii="Calibri" w:cs="Calibri" w:eastAsia="Calibri" w:hAnsi="Calibri"/>
          <w:sz w:val="20"/>
          <w:szCs w:val="20"/>
          <w:color w:val="auto"/>
        </w:rPr>
        <w:t>“In 2025, we are focused on deepening partnerships, acceleratng science-backed innovatons, including new product oferings, and enhancing our commercial executon. Despite near-term global macroeconomic uncertainty and industry headwinds, Hydrafacial remains a leading global brand, and we are confdent in our ability to execute on our strategy and drive long-term shareholder value.”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Key Operatonal and Business Metrics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60" w:type="dxa"/>
            <w:vAlign w:val="bottom"/>
            <w:gridSpan w:val="5"/>
          </w:tcPr>
          <w:p>
            <w:pPr>
              <w:ind w:left="200"/>
              <w:spacing w:after="0"/>
              <w:rPr>
                <w:sz w:val="20"/>
                <w:szCs w:val="20"/>
                <w:color w:val="auto"/>
              </w:rPr>
            </w:pPr>
            <w:r>
              <w:rPr>
                <w:rFonts w:ascii="Calibri" w:cs="Calibri" w:eastAsia="Calibri" w:hAnsi="Calibri"/>
                <w:sz w:val="18"/>
                <w:szCs w:val="18"/>
                <w:b w:val="1"/>
                <w:bCs w:val="1"/>
                <w:color w:val="auto"/>
              </w:rPr>
              <w:t>Three Months Ended December 31,</w:t>
            </w:r>
          </w:p>
        </w:tc>
        <w:tc>
          <w:tcPr>
            <w:tcW w:w="400" w:type="dxa"/>
            <w:vAlign w:val="bottom"/>
          </w:tcPr>
          <w:p>
            <w:pPr>
              <w:spacing w:after="0"/>
              <w:rPr>
                <w:sz w:val="19"/>
                <w:szCs w:val="19"/>
                <w:color w:val="auto"/>
              </w:rPr>
            </w:pPr>
          </w:p>
        </w:tc>
        <w:tc>
          <w:tcPr>
            <w:tcW w:w="3140" w:type="dxa"/>
            <w:vAlign w:val="bottom"/>
            <w:gridSpan w:val="4"/>
          </w:tcPr>
          <w:p>
            <w:pPr>
              <w:jc w:val="right"/>
              <w:ind w:right="750"/>
              <w:spacing w:after="0"/>
              <w:rPr>
                <w:sz w:val="20"/>
                <w:szCs w:val="20"/>
                <w:color w:val="auto"/>
              </w:rPr>
            </w:pPr>
            <w:r>
              <w:rPr>
                <w:rFonts w:ascii="Calibri" w:cs="Calibri" w:eastAsia="Calibri" w:hAnsi="Calibri"/>
                <w:sz w:val="18"/>
                <w:szCs w:val="18"/>
                <w:b w:val="1"/>
                <w:bCs w:val="1"/>
                <w:color w:val="231F20"/>
              </w:rPr>
              <w:t>Year Ended December 31,</w:t>
            </w:r>
          </w:p>
        </w:tc>
      </w:tr>
      <w:tr>
        <w:trPr>
          <w:trHeight w:val="64"/>
        </w:trPr>
        <w:tc>
          <w:tcPr>
            <w:tcW w:w="40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76"/>
        </w:trPr>
        <w:tc>
          <w:tcPr>
            <w:tcW w:w="4040" w:type="dxa"/>
            <w:vAlign w:val="bottom"/>
            <w:tcBorders>
              <w:bottom w:val="single" w:sz="8" w:color="CCEEFF"/>
            </w:tcBorders>
          </w:tcPr>
          <w:p>
            <w:pPr>
              <w:ind w:left="20"/>
              <w:spacing w:after="0" w:line="274" w:lineRule="exact"/>
              <w:rPr>
                <w:sz w:val="20"/>
                <w:szCs w:val="20"/>
                <w:color w:val="auto"/>
              </w:rPr>
            </w:pPr>
            <w:r>
              <w:rPr>
                <w:rFonts w:ascii="Calibri" w:cs="Calibri" w:eastAsia="Calibri" w:hAnsi="Calibri"/>
                <w:sz w:val="18"/>
                <w:szCs w:val="18"/>
                <w:b w:val="1"/>
                <w:bCs w:val="1"/>
                <w:color w:val="auto"/>
              </w:rPr>
              <w:t xml:space="preserve">Unaudited ($ in millions) </w:t>
            </w:r>
            <w:r>
              <w:rPr>
                <w:rFonts w:ascii="Calibri" w:cs="Calibri" w:eastAsia="Calibri" w:hAnsi="Calibri"/>
                <w:sz w:val="23"/>
                <w:szCs w:val="23"/>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90"/>
              <w:spacing w:after="0" w:line="215" w:lineRule="exact"/>
              <w:rPr>
                <w:sz w:val="20"/>
                <w:szCs w:val="20"/>
                <w:color w:val="auto"/>
              </w:rPr>
            </w:pPr>
            <w:r>
              <w:rPr>
                <w:rFonts w:ascii="Calibri" w:cs="Calibri" w:eastAsia="Calibri" w:hAnsi="Calibri"/>
                <w:sz w:val="18"/>
                <w:szCs w:val="18"/>
                <w:b w:val="1"/>
                <w:bCs w:val="1"/>
                <w:color w:val="auto"/>
              </w:rPr>
              <w:t>2024</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9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90"/>
              <w:spacing w:after="0" w:line="215" w:lineRule="exact"/>
              <w:rPr>
                <w:sz w:val="20"/>
                <w:szCs w:val="20"/>
                <w:color w:val="auto"/>
              </w:rPr>
            </w:pPr>
            <w:r>
              <w:rPr>
                <w:rFonts w:ascii="Calibri" w:cs="Calibri" w:eastAsia="Calibri" w:hAnsi="Calibri"/>
                <w:sz w:val="18"/>
                <w:szCs w:val="18"/>
                <w:b w:val="1"/>
                <w:bCs w:val="1"/>
                <w:color w:val="auto"/>
              </w:rPr>
              <w:t>2023</w:t>
            </w:r>
          </w:p>
        </w:tc>
      </w:tr>
      <w:tr>
        <w:trPr>
          <w:trHeight w:val="214"/>
        </w:trPr>
        <w:tc>
          <w:tcPr>
            <w:tcW w:w="4040" w:type="dxa"/>
            <w:vAlign w:val="bottom"/>
            <w:shd w:val="clear" w:color="auto" w:fill="CCEEFF"/>
          </w:tcPr>
          <w:p>
            <w:pPr>
              <w:ind w:left="20"/>
              <w:spacing w:after="0" w:line="214" w:lineRule="exact"/>
              <w:rPr>
                <w:sz w:val="20"/>
                <w:szCs w:val="20"/>
                <w:color w:val="auto"/>
              </w:rPr>
            </w:pPr>
            <w:r>
              <w:rPr>
                <w:rFonts w:ascii="Calibri" w:cs="Calibri" w:eastAsia="Calibri" w:hAnsi="Calibri"/>
                <w:sz w:val="18"/>
                <w:szCs w:val="18"/>
                <w:color w:val="auto"/>
              </w:rPr>
              <w:t>Delivery Systems net sales</w:t>
            </w:r>
          </w:p>
        </w:tc>
        <w:tc>
          <w:tcPr>
            <w:tcW w:w="300" w:type="dxa"/>
            <w:vAlign w:val="bottom"/>
            <w:shd w:val="clear" w:color="auto" w:fill="CCEEFF"/>
          </w:tcPr>
          <w:p>
            <w:pPr>
              <w:jc w:val="right"/>
              <w:ind w:right="90"/>
              <w:spacing w:after="0" w:line="214" w:lineRule="exact"/>
              <w:rPr>
                <w:sz w:val="20"/>
                <w:szCs w:val="20"/>
                <w:color w:val="auto"/>
              </w:rPr>
            </w:pPr>
            <w:r>
              <w:rPr>
                <w:rFonts w:ascii="Calibri" w:cs="Calibri" w:eastAsia="Calibri" w:hAnsi="Calibri"/>
                <w:sz w:val="18"/>
                <w:szCs w:val="18"/>
                <w:color w:val="auto"/>
              </w:rPr>
              <w:t>$</w:t>
            </w:r>
          </w:p>
        </w:tc>
        <w:tc>
          <w:tcPr>
            <w:tcW w:w="1420" w:type="dxa"/>
            <w:vAlign w:val="bottom"/>
            <w:shd w:val="clear" w:color="auto" w:fill="CCEEFF"/>
          </w:tcPr>
          <w:p>
            <w:pPr>
              <w:jc w:val="right"/>
              <w:ind w:right="90"/>
              <w:spacing w:after="0" w:line="214" w:lineRule="exact"/>
              <w:rPr>
                <w:sz w:val="20"/>
                <w:szCs w:val="20"/>
                <w:color w:val="auto"/>
              </w:rPr>
            </w:pPr>
            <w:r>
              <w:rPr>
                <w:rFonts w:ascii="Calibri" w:cs="Calibri" w:eastAsia="Calibri" w:hAnsi="Calibri"/>
                <w:sz w:val="18"/>
                <w:szCs w:val="18"/>
                <w:color w:val="auto"/>
              </w:rPr>
              <w:t>26.8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4"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ind w:right="90"/>
              <w:spacing w:after="0" w:line="214" w:lineRule="exact"/>
              <w:rPr>
                <w:sz w:val="20"/>
                <w:szCs w:val="20"/>
                <w:color w:val="auto"/>
              </w:rPr>
            </w:pPr>
            <w:r>
              <w:rPr>
                <w:rFonts w:ascii="Calibri" w:cs="Calibri" w:eastAsia="Calibri" w:hAnsi="Calibri"/>
                <w:sz w:val="18"/>
                <w:szCs w:val="18"/>
                <w:color w:val="auto"/>
              </w:rPr>
              <w:t>44.6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line="214"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ind w:right="90"/>
              <w:spacing w:after="0" w:line="214" w:lineRule="exact"/>
              <w:rPr>
                <w:sz w:val="20"/>
                <w:szCs w:val="20"/>
                <w:color w:val="auto"/>
              </w:rPr>
            </w:pPr>
            <w:r>
              <w:rPr>
                <w:rFonts w:ascii="Calibri" w:cs="Calibri" w:eastAsia="Calibri" w:hAnsi="Calibri"/>
                <w:sz w:val="18"/>
                <w:szCs w:val="18"/>
                <w:color w:val="auto"/>
              </w:rPr>
              <w:t>125.4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4"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ind w:right="90"/>
              <w:spacing w:after="0" w:line="214" w:lineRule="exact"/>
              <w:rPr>
                <w:sz w:val="20"/>
                <w:szCs w:val="20"/>
                <w:color w:val="auto"/>
              </w:rPr>
            </w:pPr>
            <w:r>
              <w:rPr>
                <w:rFonts w:ascii="Calibri" w:cs="Calibri" w:eastAsia="Calibri" w:hAnsi="Calibri"/>
                <w:sz w:val="18"/>
                <w:szCs w:val="18"/>
                <w:color w:val="auto"/>
              </w:rPr>
              <w:t>206.6</w:t>
            </w:r>
          </w:p>
        </w:tc>
      </w:tr>
      <w:tr>
        <w:trPr>
          <w:trHeight w:val="64"/>
        </w:trPr>
        <w:tc>
          <w:tcPr>
            <w:tcW w:w="4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19"/>
        </w:trPr>
        <w:tc>
          <w:tcPr>
            <w:tcW w:w="4040" w:type="dxa"/>
            <w:vAlign w:val="bottom"/>
          </w:tcPr>
          <w:p>
            <w:pPr>
              <w:ind w:left="20"/>
              <w:spacing w:after="0"/>
              <w:rPr>
                <w:sz w:val="20"/>
                <w:szCs w:val="20"/>
                <w:color w:val="auto"/>
              </w:rPr>
            </w:pPr>
            <w:r>
              <w:rPr>
                <w:rFonts w:ascii="Calibri" w:cs="Calibri" w:eastAsia="Calibri" w:hAnsi="Calibri"/>
                <w:sz w:val="18"/>
                <w:szCs w:val="18"/>
                <w:color w:val="auto"/>
              </w:rPr>
              <w:t>Consumables net sales</w:t>
            </w:r>
          </w:p>
        </w:tc>
        <w:tc>
          <w:tcPr>
            <w:tcW w:w="30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Calibri" w:cs="Calibri" w:eastAsia="Calibri" w:hAnsi="Calibri"/>
                <w:sz w:val="18"/>
                <w:szCs w:val="18"/>
                <w:color w:val="auto"/>
              </w:rPr>
              <w:t>56.7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auto"/>
              </w:rPr>
              <w:t>52.2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auto"/>
              </w:rPr>
              <w:t>208.9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Calibri" w:cs="Calibri" w:eastAsia="Calibri" w:hAnsi="Calibri"/>
                <w:sz w:val="18"/>
                <w:szCs w:val="18"/>
                <w:color w:val="auto"/>
              </w:rPr>
              <w:t>191.4</w:t>
            </w:r>
          </w:p>
        </w:tc>
      </w:tr>
      <w:tr>
        <w:trPr>
          <w:trHeight w:val="64"/>
        </w:trPr>
        <w:tc>
          <w:tcPr>
            <w:tcW w:w="40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13"/>
        </w:trPr>
        <w:tc>
          <w:tcPr>
            <w:tcW w:w="404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net sales</w:t>
            </w:r>
          </w:p>
        </w:tc>
        <w:tc>
          <w:tcPr>
            <w:tcW w:w="30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rPr>
              <w:t>$</w:t>
            </w:r>
          </w:p>
        </w:tc>
        <w:tc>
          <w:tcPr>
            <w:tcW w:w="142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rPr>
              <w:t>83.5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rPr>
              <w:t>96.8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rPr>
              <w:t>334.3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rPr>
              <w:t>398.0</w:t>
            </w:r>
          </w:p>
        </w:tc>
      </w:tr>
      <w:tr>
        <w:trPr>
          <w:trHeight w:val="64"/>
        </w:trPr>
        <w:tc>
          <w:tcPr>
            <w:tcW w:w="4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20"/>
        </w:trPr>
        <w:tc>
          <w:tcPr>
            <w:tcW w:w="4040" w:type="dxa"/>
            <w:vAlign w:val="bottom"/>
          </w:tcPr>
          <w:p>
            <w:pPr>
              <w:ind w:left="20"/>
              <w:spacing w:after="0"/>
              <w:rPr>
                <w:sz w:val="20"/>
                <w:szCs w:val="20"/>
                <w:color w:val="auto"/>
              </w:rPr>
            </w:pPr>
            <w:r>
              <w:rPr>
                <w:rFonts w:ascii="Calibri" w:cs="Calibri" w:eastAsia="Calibri" w:hAnsi="Calibri"/>
                <w:sz w:val="18"/>
                <w:szCs w:val="18"/>
                <w:color w:val="auto"/>
              </w:rPr>
              <w:t>Gross proft</w:t>
            </w:r>
          </w:p>
        </w:tc>
        <w:tc>
          <w:tcPr>
            <w:tcW w:w="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420" w:type="dxa"/>
            <w:vAlign w:val="bottom"/>
          </w:tcPr>
          <w:p>
            <w:pPr>
              <w:jc w:val="right"/>
              <w:ind w:right="90"/>
              <w:spacing w:after="0"/>
              <w:rPr>
                <w:sz w:val="20"/>
                <w:szCs w:val="20"/>
                <w:color w:val="auto"/>
              </w:rPr>
            </w:pPr>
            <w:r>
              <w:rPr>
                <w:rFonts w:ascii="Calibri" w:cs="Calibri" w:eastAsia="Calibri" w:hAnsi="Calibri"/>
                <w:sz w:val="18"/>
                <w:szCs w:val="18"/>
                <w:color w:val="auto"/>
              </w:rPr>
              <w:t>52.3</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auto"/>
              </w:rPr>
              <w:t>45.7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231F20"/>
              </w:rPr>
              <w:t>$</w:t>
            </w: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231F20"/>
              </w:rPr>
              <w:t>182.3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40" w:type="dxa"/>
            <w:vAlign w:val="bottom"/>
          </w:tcPr>
          <w:p>
            <w:pPr>
              <w:jc w:val="right"/>
              <w:ind w:right="90"/>
              <w:spacing w:after="0"/>
              <w:rPr>
                <w:sz w:val="20"/>
                <w:szCs w:val="20"/>
                <w:color w:val="auto"/>
              </w:rPr>
            </w:pPr>
            <w:r>
              <w:rPr>
                <w:rFonts w:ascii="Calibri" w:cs="Calibri" w:eastAsia="Calibri" w:hAnsi="Calibri"/>
                <w:sz w:val="18"/>
                <w:szCs w:val="18"/>
                <w:color w:val="auto"/>
              </w:rPr>
              <w:t>155.1</w:t>
            </w:r>
          </w:p>
        </w:tc>
      </w:tr>
      <w:tr>
        <w:trPr>
          <w:trHeight w:val="64"/>
        </w:trPr>
        <w:tc>
          <w:tcPr>
            <w:tcW w:w="4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Gross margin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62.7 %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47.2 %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39.0 %</w:t>
            </w:r>
          </w:p>
        </w:tc>
      </w:tr>
      <w:tr>
        <w:trPr>
          <w:trHeight w:val="64"/>
        </w:trPr>
        <w:tc>
          <w:tcPr>
            <w:tcW w:w="4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82"/>
        </w:trPr>
        <w:tc>
          <w:tcPr>
            <w:tcW w:w="4040" w:type="dxa"/>
            <w:vAlign w:val="bottom"/>
          </w:tcPr>
          <w:p>
            <w:pPr>
              <w:ind w:left="20"/>
              <w:spacing w:after="0"/>
              <w:rPr>
                <w:sz w:val="20"/>
                <w:szCs w:val="20"/>
                <w:color w:val="auto"/>
              </w:rPr>
            </w:pPr>
            <w:r>
              <w:rPr>
                <w:rFonts w:ascii="Calibri" w:cs="Calibri" w:eastAsia="Calibri" w:hAnsi="Calibri"/>
                <w:sz w:val="18"/>
                <w:szCs w:val="18"/>
                <w:color w:val="auto"/>
              </w:rPr>
              <w:t>Adjusted gross proft</w:t>
            </w:r>
            <w:r>
              <w:rPr>
                <w:rFonts w:ascii="Calibri" w:cs="Calibri" w:eastAsia="Calibri" w:hAnsi="Calibri"/>
                <w:sz w:val="23"/>
                <w:szCs w:val="23"/>
                <w:color w:val="auto"/>
                <w:vertAlign w:val="superscript"/>
              </w:rPr>
              <w:t>(2)</w:t>
            </w:r>
          </w:p>
        </w:tc>
        <w:tc>
          <w:tcPr>
            <w:tcW w:w="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420" w:type="dxa"/>
            <w:vAlign w:val="bottom"/>
          </w:tcPr>
          <w:p>
            <w:pPr>
              <w:jc w:val="right"/>
              <w:ind w:right="90"/>
              <w:spacing w:after="0"/>
              <w:rPr>
                <w:sz w:val="20"/>
                <w:szCs w:val="20"/>
                <w:color w:val="auto"/>
              </w:rPr>
            </w:pPr>
            <w:r>
              <w:rPr>
                <w:rFonts w:ascii="Calibri" w:cs="Calibri" w:eastAsia="Calibri" w:hAnsi="Calibri"/>
                <w:sz w:val="18"/>
                <w:szCs w:val="18"/>
                <w:color w:val="auto"/>
              </w:rPr>
              <w:t>56.0</w:t>
            </w:r>
          </w:p>
        </w:tc>
        <w:tc>
          <w:tcPr>
            <w:tcW w:w="14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auto"/>
              </w:rPr>
              <w:t>52.8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1320" w:type="dxa"/>
            <w:vAlign w:val="bottom"/>
          </w:tcPr>
          <w:p>
            <w:pPr>
              <w:jc w:val="right"/>
              <w:ind w:right="90"/>
              <w:spacing w:after="0"/>
              <w:rPr>
                <w:sz w:val="20"/>
                <w:szCs w:val="20"/>
                <w:color w:val="auto"/>
              </w:rPr>
            </w:pPr>
            <w:r>
              <w:rPr>
                <w:rFonts w:ascii="Calibri" w:cs="Calibri" w:eastAsia="Calibri" w:hAnsi="Calibri"/>
                <w:sz w:val="18"/>
                <w:szCs w:val="18"/>
                <w:color w:val="auto"/>
              </w:rPr>
              <w:t>207.2</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40" w:type="dxa"/>
            <w:vAlign w:val="bottom"/>
          </w:tcPr>
          <w:p>
            <w:pPr>
              <w:jc w:val="right"/>
              <w:ind w:right="90"/>
              <w:spacing w:after="0"/>
              <w:rPr>
                <w:sz w:val="20"/>
                <w:szCs w:val="20"/>
                <w:color w:val="auto"/>
              </w:rPr>
            </w:pPr>
            <w:r>
              <w:rPr>
                <w:rFonts w:ascii="Calibri" w:cs="Calibri" w:eastAsia="Calibri" w:hAnsi="Calibri"/>
                <w:sz w:val="18"/>
                <w:szCs w:val="18"/>
                <w:color w:val="auto"/>
              </w:rPr>
              <w:t>249.8</w:t>
            </w:r>
          </w:p>
        </w:tc>
      </w:tr>
      <w:tr>
        <w:trPr>
          <w:trHeight w:val="285"/>
        </w:trPr>
        <w:tc>
          <w:tcPr>
            <w:tcW w:w="4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Adjusted gross margin</w:t>
            </w:r>
            <w:r>
              <w:rPr>
                <w:rFonts w:ascii="Calibri" w:cs="Calibri" w:eastAsia="Calibri" w:hAnsi="Calibri"/>
                <w:sz w:val="23"/>
                <w:szCs w:val="23"/>
                <w:color w:val="auto"/>
                <w:vertAlign w:val="superscript"/>
              </w:rPr>
              <w:t>(2)</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67.1 %</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54.6 %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62.0 %</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62.8 %</w:t>
            </w:r>
          </w:p>
        </w:tc>
      </w:tr>
      <w:tr>
        <w:trPr>
          <w:trHeight w:val="220"/>
        </w:trPr>
        <w:tc>
          <w:tcPr>
            <w:tcW w:w="404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420" w:type="dxa"/>
            <w:vAlign w:val="bottom"/>
          </w:tcPr>
          <w:p>
            <w:pPr>
              <w:jc w:val="right"/>
              <w:ind w:right="50"/>
              <w:spacing w:after="0"/>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ind w:right="50"/>
              <w:spacing w:after="0"/>
              <w:rPr>
                <w:sz w:val="20"/>
                <w:szCs w:val="20"/>
                <w:color w:val="auto"/>
              </w:rPr>
            </w:pPr>
            <w:r>
              <w:rPr>
                <w:rFonts w:ascii="Calibri" w:cs="Calibri" w:eastAsia="Calibri" w:hAnsi="Calibri"/>
                <w:sz w:val="18"/>
                <w:szCs w:val="18"/>
                <w:color w:val="auto"/>
              </w:rPr>
              <w:t>(9.4)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rPr>
                <w:sz w:val="20"/>
                <w:szCs w:val="20"/>
                <w:color w:val="auto"/>
              </w:rPr>
            </w:pPr>
            <w:r>
              <w:rPr>
                <w:rFonts w:ascii="Calibri" w:cs="Calibri" w:eastAsia="Calibri" w:hAnsi="Calibri"/>
                <w:sz w:val="18"/>
                <w:szCs w:val="18"/>
                <w:color w:val="auto"/>
              </w:rPr>
              <w:t>(29.1)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340" w:type="dxa"/>
            <w:vAlign w:val="bottom"/>
          </w:tcPr>
          <w:p>
            <w:pPr>
              <w:jc w:val="right"/>
              <w:ind w:right="50"/>
              <w:spacing w:after="0"/>
              <w:rPr>
                <w:sz w:val="20"/>
                <w:szCs w:val="20"/>
                <w:color w:val="auto"/>
              </w:rPr>
            </w:pPr>
            <w:r>
              <w:rPr>
                <w:rFonts w:ascii="Calibri" w:cs="Calibri" w:eastAsia="Calibri" w:hAnsi="Calibri"/>
                <w:sz w:val="18"/>
                <w:szCs w:val="18"/>
                <w:color w:val="auto"/>
              </w:rPr>
              <w:t>(100.1)</w:t>
            </w:r>
          </w:p>
        </w:tc>
      </w:tr>
      <w:tr>
        <w:trPr>
          <w:trHeight w:val="64"/>
        </w:trPr>
        <w:tc>
          <w:tcPr>
            <w:tcW w:w="4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83"/>
        </w:trPr>
        <w:tc>
          <w:tcPr>
            <w:tcW w:w="4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Adjusted EBITDA</w:t>
            </w:r>
            <w:r>
              <w:rPr>
                <w:rFonts w:ascii="Calibri" w:cs="Calibri" w:eastAsia="Calibri" w:hAnsi="Calibri"/>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9.0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24.3</w:t>
            </w:r>
          </w:p>
        </w:tc>
      </w:tr>
      <w:tr>
        <w:trPr>
          <w:trHeight w:val="281"/>
        </w:trPr>
        <w:tc>
          <w:tcPr>
            <w:tcW w:w="4040" w:type="dxa"/>
            <w:vAlign w:val="bottom"/>
          </w:tcPr>
          <w:p>
            <w:pPr>
              <w:ind w:left="20"/>
              <w:spacing w:after="0"/>
              <w:rPr>
                <w:sz w:val="20"/>
                <w:szCs w:val="20"/>
                <w:color w:val="auto"/>
              </w:rPr>
            </w:pPr>
            <w:r>
              <w:rPr>
                <w:rFonts w:ascii="Calibri" w:cs="Calibri" w:eastAsia="Calibri" w:hAnsi="Calibri"/>
                <w:sz w:val="18"/>
                <w:szCs w:val="18"/>
                <w:color w:val="auto"/>
              </w:rPr>
              <w:t>Adjusted EBITDA margin</w:t>
            </w:r>
            <w:r>
              <w:rPr>
                <w:rFonts w:ascii="Calibri" w:cs="Calibri" w:eastAsia="Calibri" w:hAnsi="Calibri"/>
                <w:sz w:val="23"/>
                <w:szCs w:val="23"/>
                <w:color w:val="auto"/>
                <w:vertAlign w:val="superscript"/>
              </w:rPr>
              <w:t>(2)</w:t>
            </w: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color w:val="auto"/>
              </w:rPr>
              <w:t>10.8 %</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auto"/>
              </w:rPr>
              <w:t>3.5 %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auto"/>
              </w:rPr>
              <w:t>3.7 %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6.1 %</w:t>
            </w: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Calibri" w:cs="Calibri" w:eastAsia="Calibri" w:hAnsi="Calibri"/>
                <w:sz w:val="18"/>
                <w:szCs w:val="18"/>
                <w:b w:val="1"/>
                <w:bCs w:val="1"/>
                <w:color w:val="auto"/>
              </w:rPr>
              <w:t>Three Months Ended December 31,</w:t>
            </w:r>
          </w:p>
        </w:tc>
        <w:tc>
          <w:tcPr>
            <w:tcW w:w="3420" w:type="dxa"/>
            <w:vAlign w:val="bottom"/>
            <w:gridSpan w:val="3"/>
          </w:tcPr>
          <w:p>
            <w:pPr>
              <w:jc w:val="right"/>
              <w:ind w:right="690"/>
              <w:spacing w:after="0"/>
              <w:rPr>
                <w:sz w:val="20"/>
                <w:szCs w:val="20"/>
                <w:color w:val="auto"/>
              </w:rPr>
            </w:pPr>
            <w:r>
              <w:rPr>
                <w:rFonts w:ascii="Calibri" w:cs="Calibri" w:eastAsia="Calibri" w:hAnsi="Calibri"/>
                <w:sz w:val="18"/>
                <w:szCs w:val="18"/>
                <w:b w:val="1"/>
                <w:bCs w:val="1"/>
                <w:color w:val="231F20"/>
              </w:rPr>
              <w:t>Year Ended December 31,</w:t>
            </w:r>
          </w:p>
        </w:tc>
      </w:tr>
      <w:tr>
        <w:trPr>
          <w:trHeight w:val="64"/>
        </w:trPr>
        <w:tc>
          <w:tcPr>
            <w:tcW w:w="426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13"/>
        </w:trPr>
        <w:tc>
          <w:tcPr>
            <w:tcW w:w="426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auto"/>
              </w:rPr>
              <w:t>Unaudited</w:t>
            </w:r>
          </w:p>
        </w:tc>
        <w:tc>
          <w:tcPr>
            <w:tcW w:w="166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2024</w:t>
            </w:r>
          </w:p>
        </w:tc>
        <w:tc>
          <w:tcPr>
            <w:tcW w:w="140" w:type="dxa"/>
            <w:vAlign w:val="bottom"/>
          </w:tcPr>
          <w:p>
            <w:pPr>
              <w:spacing w:after="0"/>
              <w:rPr>
                <w:sz w:val="18"/>
                <w:szCs w:val="18"/>
                <w:color w:val="auto"/>
              </w:rPr>
            </w:pPr>
          </w:p>
        </w:tc>
        <w:tc>
          <w:tcPr>
            <w:tcW w:w="1660" w:type="dxa"/>
            <w:vAlign w:val="bottom"/>
          </w:tcPr>
          <w:p>
            <w:pPr>
              <w:jc w:val="right"/>
              <w:ind w:right="570"/>
              <w:spacing w:after="0" w:line="213"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Pr>
          <w:p>
            <w:pPr>
              <w:jc w:val="right"/>
              <w:ind w:right="570"/>
              <w:spacing w:after="0" w:line="213"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1680" w:type="dxa"/>
            <w:vAlign w:val="bottom"/>
          </w:tcPr>
          <w:p>
            <w:pPr>
              <w:jc w:val="right"/>
              <w:ind w:right="570"/>
              <w:spacing w:after="0" w:line="213" w:lineRule="exact"/>
              <w:rPr>
                <w:sz w:val="20"/>
                <w:szCs w:val="20"/>
                <w:color w:val="auto"/>
              </w:rPr>
            </w:pPr>
            <w:r>
              <w:rPr>
                <w:rFonts w:ascii="Calibri" w:cs="Calibri" w:eastAsia="Calibri" w:hAnsi="Calibri"/>
                <w:sz w:val="18"/>
                <w:szCs w:val="18"/>
                <w:b w:val="1"/>
                <w:bCs w:val="1"/>
                <w:color w:val="auto"/>
              </w:rPr>
              <w:t>2023</w:t>
            </w:r>
          </w:p>
        </w:tc>
      </w:tr>
      <w:tr>
        <w:trPr>
          <w:trHeight w:val="64"/>
        </w:trPr>
        <w:tc>
          <w:tcPr>
            <w:tcW w:w="426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13"/>
        </w:trPr>
        <w:tc>
          <w:tcPr>
            <w:tcW w:w="426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delivery systems sold</w:t>
            </w:r>
          </w:p>
        </w:tc>
        <w:tc>
          <w:tcPr>
            <w:tcW w:w="16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1,087</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1,551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4,907</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8,287</w:t>
            </w:r>
          </w:p>
        </w:tc>
      </w:tr>
      <w:tr>
        <w:trPr>
          <w:trHeight w:val="64"/>
        </w:trPr>
        <w:tc>
          <w:tcPr>
            <w:tcW w:w="42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r>
      <w:tr>
        <w:trPr>
          <w:trHeight w:val="281"/>
        </w:trPr>
        <w:tc>
          <w:tcPr>
            <w:tcW w:w="4260" w:type="dxa"/>
            <w:vAlign w:val="bottom"/>
          </w:tcPr>
          <w:p>
            <w:pPr>
              <w:ind w:left="20"/>
              <w:spacing w:after="0"/>
              <w:rPr>
                <w:sz w:val="20"/>
                <w:szCs w:val="20"/>
                <w:color w:val="auto"/>
              </w:rPr>
            </w:pPr>
            <w:r>
              <w:rPr>
                <w:rFonts w:ascii="Calibri" w:cs="Calibri" w:eastAsia="Calibri" w:hAnsi="Calibri"/>
                <w:sz w:val="18"/>
                <w:szCs w:val="18"/>
                <w:color w:val="auto"/>
              </w:rPr>
              <w:t>Actve install base</w:t>
            </w:r>
            <w:r>
              <w:rPr>
                <w:rFonts w:ascii="Calibri" w:cs="Calibri" w:eastAsia="Calibri" w:hAnsi="Calibri"/>
                <w:sz w:val="23"/>
                <w:szCs w:val="23"/>
                <w:color w:val="auto"/>
                <w:vertAlign w:val="superscript"/>
              </w:rPr>
              <w:t>(3)</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34,735</w:t>
            </w: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31,446</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34,735</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alibri" w:cs="Calibri" w:eastAsia="Calibri" w:hAnsi="Calibri"/>
                <w:sz w:val="18"/>
                <w:szCs w:val="18"/>
                <w:color w:val="auto"/>
              </w:rPr>
              <w:t>31,446</w:t>
            </w:r>
          </w:p>
        </w:tc>
      </w:tr>
    </w:tbl>
    <w:p>
      <w:pPr>
        <w:spacing w:after="0" w:line="68"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ind w:left="220" w:hanging="212"/>
        <w:spacing w:after="0"/>
        <w:tabs>
          <w:tab w:leader="none" w:pos="220" w:val="left"/>
        </w:tabs>
        <w:numPr>
          <w:ilvl w:val="0"/>
          <w:numId w:val="2"/>
        </w:numPr>
        <w:rPr>
          <w:rFonts w:ascii="Calibri" w:cs="Calibri" w:eastAsia="Calibri" w:hAnsi="Calibri"/>
          <w:sz w:val="16"/>
          <w:szCs w:val="16"/>
          <w:color w:val="auto"/>
        </w:rPr>
      </w:pPr>
      <w:r>
        <w:rPr>
          <w:rFonts w:ascii="Calibri" w:cs="Calibri" w:eastAsia="Calibri" w:hAnsi="Calibri"/>
          <w:sz w:val="16"/>
          <w:szCs w:val="16"/>
          <w:color w:val="auto"/>
        </w:rPr>
        <w:t>Amounts may not sum due to rounding.</w:t>
      </w:r>
    </w:p>
    <w:p>
      <w:pPr>
        <w:ind w:left="220" w:hanging="212"/>
        <w:spacing w:after="0" w:line="232" w:lineRule="auto"/>
        <w:tabs>
          <w:tab w:leader="none" w:pos="220" w:val="left"/>
        </w:tabs>
        <w:numPr>
          <w:ilvl w:val="0"/>
          <w:numId w:val="2"/>
        </w:numPr>
        <w:rPr>
          <w:rFonts w:ascii="Calibri" w:cs="Calibri" w:eastAsia="Calibri" w:hAnsi="Calibri"/>
          <w:sz w:val="16"/>
          <w:szCs w:val="16"/>
          <w:color w:val="auto"/>
        </w:rPr>
      </w:pPr>
      <w:r>
        <w:rPr>
          <w:rFonts w:ascii="Calibri" w:cs="Calibri" w:eastAsia="Calibri" w:hAnsi="Calibri"/>
          <w:sz w:val="16"/>
          <w:szCs w:val="16"/>
          <w:color w:val="auto"/>
        </w:rPr>
        <w:t>See "Non-GAAP Financial Measures" below.</w:t>
      </w:r>
    </w:p>
    <w:p>
      <w:pPr>
        <w:spacing w:after="0" w:line="7" w:lineRule="exact"/>
        <w:rPr>
          <w:rFonts w:ascii="Calibri" w:cs="Calibri" w:eastAsia="Calibri" w:hAnsi="Calibri"/>
          <w:sz w:val="16"/>
          <w:szCs w:val="16"/>
          <w:color w:val="auto"/>
        </w:rPr>
      </w:pPr>
    </w:p>
    <w:p>
      <w:pPr>
        <w:ind w:left="220" w:hanging="212"/>
        <w:spacing w:after="0"/>
        <w:tabs>
          <w:tab w:leader="none" w:pos="220" w:val="left"/>
        </w:tabs>
        <w:numPr>
          <w:ilvl w:val="0"/>
          <w:numId w:val="2"/>
        </w:numPr>
        <w:rPr>
          <w:rFonts w:ascii="Calibri" w:cs="Calibri" w:eastAsia="Calibri" w:hAnsi="Calibri"/>
          <w:sz w:val="16"/>
          <w:szCs w:val="16"/>
          <w:color w:val="auto"/>
        </w:rPr>
      </w:pPr>
      <w:r>
        <w:rPr>
          <w:rFonts w:ascii="Calibri" w:cs="Calibri" w:eastAsia="Calibri" w:hAnsi="Calibri"/>
          <w:sz w:val="16"/>
          <w:szCs w:val="16"/>
          <w:color w:val="auto"/>
        </w:rPr>
        <w:t>Estmated number of delivery systems owned by providers that have purchased consumables in the trailing twelve-month period.</w:t>
      </w:r>
    </w:p>
    <w:p>
      <w:pPr>
        <w:spacing w:after="0" w:line="273" w:lineRule="exact"/>
        <w:rPr>
          <w:sz w:val="20"/>
          <w:szCs w:val="20"/>
          <w:color w:val="auto"/>
        </w:rPr>
      </w:pPr>
    </w:p>
    <w:p>
      <w:pPr>
        <w:ind w:right="40"/>
        <w:spacing w:after="0" w:line="221" w:lineRule="auto"/>
        <w:rPr>
          <w:sz w:val="20"/>
          <w:szCs w:val="20"/>
          <w:color w:val="auto"/>
        </w:rPr>
      </w:pPr>
      <w:r>
        <w:rPr>
          <w:rFonts w:ascii="Calibri" w:cs="Calibri" w:eastAsia="Calibri" w:hAnsi="Calibri"/>
          <w:sz w:val="20"/>
          <w:szCs w:val="20"/>
          <w:color w:val="auto"/>
        </w:rPr>
        <w:t>BeautyHealth completed the year with an estmated actve install base of 34,735 units, as compared to 31,446 in the prior year, resultng in growth in consumable net sales. The decrease in overall revenue resulted from fewer units placed year over year, impacted by a challenging macroeconomic environment and the prior year internatonal launch of the Syndeo Delivery System ("Syndeo"). The Company contnues to evaluate its strategic footprint, exitng its third-party manufacturing arrangement in 2024, and is expected to convert its China market from a direct sales to distributor model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05"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Fourth Quarter Financial Highlights</w:t>
      </w:r>
    </w:p>
    <w:p>
      <w:pPr>
        <w:spacing w:after="0" w:line="63" w:lineRule="exact"/>
        <w:rPr>
          <w:sz w:val="20"/>
          <w:szCs w:val="20"/>
          <w:color w:val="auto"/>
        </w:rPr>
      </w:pPr>
    </w:p>
    <w:p>
      <w:pPr>
        <w:ind w:left="660" w:right="580" w:hanging="328"/>
        <w:spacing w:after="0" w:line="228" w:lineRule="auto"/>
        <w:tabs>
          <w:tab w:leader="none" w:pos="653"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color w:val="auto"/>
        </w:rPr>
        <w:t>Net sales were $83.5 million for the fourth quarter of 2024, a decrease of (13.8)%, compared to the prior year period ("Q4 2023"), due to lower delivery systems net sales.</w:t>
      </w:r>
    </w:p>
    <w:p>
      <w:pPr>
        <w:spacing w:after="0" w:line="62" w:lineRule="exact"/>
        <w:rPr>
          <w:rFonts w:ascii="Calibri" w:cs="Calibri" w:eastAsia="Calibri" w:hAnsi="Calibri"/>
          <w:sz w:val="20"/>
          <w:szCs w:val="20"/>
          <w:b w:val="1"/>
          <w:bCs w:val="1"/>
          <w:color w:val="auto"/>
        </w:rPr>
      </w:pPr>
    </w:p>
    <w:p>
      <w:pPr>
        <w:ind w:left="660" w:right="260" w:hanging="328"/>
        <w:spacing w:after="0" w:line="233"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Gross margin was 62.7% in Q4 2024 compared to 47.2% in Q4 2023. Adjusted gross margin was 67.1% in Q4 2024 compared to 54.6% in Q4 2023. The improvement in gross margin and adjusted gross margin was primarily due lower inventory related charges and favorable mix shif towards consumable net sales, partally ofset by lower average selling price of equipment net sales.</w:t>
      </w:r>
    </w:p>
    <w:p>
      <w:pPr>
        <w:spacing w:after="0" w:line="41"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loss was relatvely fat at $(10.3) million in Q4 2024 compared to $(9.4) million in Q4 2023.</w:t>
      </w:r>
    </w:p>
    <w:p>
      <w:pPr>
        <w:spacing w:after="0" w:line="62" w:lineRule="exact"/>
        <w:rPr>
          <w:rFonts w:ascii="Calibri" w:cs="Calibri" w:eastAsia="Calibri" w:hAnsi="Calibri"/>
          <w:sz w:val="20"/>
          <w:szCs w:val="20"/>
          <w:color w:val="auto"/>
        </w:rPr>
      </w:pPr>
    </w:p>
    <w:p>
      <w:pPr>
        <w:ind w:left="660" w:right="34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EBITDA was $9.0 million in Q4 2024 compared to $3.4 million in Q4 2023. The improvement in adjusted EBITDA was primarily due to lower operatonal spend and higher gross margin, partally ofset by lower net sales.</w:t>
      </w:r>
    </w:p>
    <w:p>
      <w:pPr>
        <w:spacing w:after="0" w:line="62" w:lineRule="exact"/>
        <w:rPr>
          <w:rFonts w:ascii="Calibri" w:cs="Calibri" w:eastAsia="Calibri" w:hAnsi="Calibri"/>
          <w:sz w:val="20"/>
          <w:szCs w:val="20"/>
          <w:color w:val="auto"/>
        </w:rPr>
      </w:pPr>
    </w:p>
    <w:p>
      <w:pPr>
        <w:ind w:left="660" w:right="840" w:hanging="328"/>
        <w:spacing w:after="0" w:line="234" w:lineRule="auto"/>
        <w:tabs>
          <w:tab w:leader="none" w:pos="653" w:val="left"/>
        </w:tabs>
        <w:numPr>
          <w:ilvl w:val="0"/>
          <w:numId w:val="3"/>
        </w:numPr>
        <w:rPr>
          <w:rFonts w:ascii="Calibri" w:cs="Calibri" w:eastAsia="Calibri" w:hAnsi="Calibri"/>
          <w:sz w:val="20"/>
          <w:szCs w:val="20"/>
          <w:color w:val="231F20"/>
        </w:rPr>
      </w:pPr>
      <w:r>
        <w:rPr>
          <w:rFonts w:ascii="Calibri" w:cs="Calibri" w:eastAsia="Calibri" w:hAnsi="Calibri"/>
          <w:sz w:val="20"/>
          <w:szCs w:val="20"/>
          <w:color w:val="auto"/>
        </w:rPr>
        <w:t>The Company placed 1,087 delivery systems during the quarter compared to 1,551 in the prior year period, refectng a challenging macroeconomic environment in additon to the prior year internatonal launch of Syndeo.</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Full Year Financial Highlights</w:t>
      </w:r>
    </w:p>
    <w:p>
      <w:pPr>
        <w:spacing w:after="0" w:line="63" w:lineRule="exact"/>
        <w:rPr>
          <w:sz w:val="20"/>
          <w:szCs w:val="20"/>
          <w:color w:val="auto"/>
        </w:rPr>
      </w:pPr>
    </w:p>
    <w:p>
      <w:pPr>
        <w:ind w:left="660" w:right="440" w:hanging="328"/>
        <w:spacing w:after="0" w:line="228" w:lineRule="auto"/>
        <w:tabs>
          <w:tab w:leader="none" w:pos="653"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color w:val="auto"/>
        </w:rPr>
        <w:t>Net sales were $334.3 million for 2024, a decrease of (16.0)%, compared to the prior year due to lower delivery systems net sales.</w:t>
      </w:r>
    </w:p>
    <w:p>
      <w:pPr>
        <w:spacing w:after="0" w:line="62" w:lineRule="exact"/>
        <w:rPr>
          <w:rFonts w:ascii="Calibri" w:cs="Calibri" w:eastAsia="Calibri" w:hAnsi="Calibri"/>
          <w:sz w:val="20"/>
          <w:szCs w:val="20"/>
          <w:b w:val="1"/>
          <w:bCs w:val="1"/>
          <w:color w:val="auto"/>
        </w:rPr>
      </w:pPr>
    </w:p>
    <w:p>
      <w:pPr>
        <w:ind w:left="660" w:right="60" w:hanging="328"/>
        <w:spacing w:after="0" w:line="233"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Gross margin was 54.5% in 2024 compared to 39.0% in 2023. The improvement in gross margin was primarily due to the absence of charges and inventory write-downs associated with the Syndeo Program of $65.2 million in 2023 and favorable mix shif towards consumable net sales, partally ofset by higher inventory related charges and $8 million of manufacturing optmizaton related costs incurred in 2024.</w:t>
      </w:r>
    </w:p>
    <w:p>
      <w:pPr>
        <w:spacing w:after="0" w:line="41" w:lineRule="exact"/>
        <w:rPr>
          <w:rFonts w:ascii="Calibri" w:cs="Calibri" w:eastAsia="Calibri" w:hAnsi="Calibri"/>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Adjusted gross margin was relatvely fat at 62.0% in 2024 compared to 62.8% in 2023.</w:t>
      </w:r>
    </w:p>
    <w:p>
      <w:pPr>
        <w:spacing w:after="0" w:line="62" w:lineRule="exact"/>
        <w:rPr>
          <w:rFonts w:ascii="Calibri" w:cs="Calibri" w:eastAsia="Calibri" w:hAnsi="Calibri"/>
          <w:sz w:val="20"/>
          <w:szCs w:val="20"/>
          <w:color w:val="auto"/>
        </w:rPr>
      </w:pPr>
    </w:p>
    <w:p>
      <w:pPr>
        <w:ind w:left="660" w:right="40" w:hanging="328"/>
        <w:spacing w:after="0" w:line="22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Net loss was $(29.1) million in 2024 compared to net loss of $(100.1) million in 2023. The change compared to the prior year was primarily due to costs associated with the Syndeo Program in 2023.</w:t>
      </w:r>
    </w:p>
    <w:p>
      <w:pPr>
        <w:spacing w:after="0" w:line="62" w:lineRule="exact"/>
        <w:rPr>
          <w:rFonts w:ascii="Calibri" w:cs="Calibri" w:eastAsia="Calibri" w:hAnsi="Calibri"/>
          <w:sz w:val="20"/>
          <w:szCs w:val="20"/>
          <w:color w:val="auto"/>
        </w:rPr>
      </w:pPr>
    </w:p>
    <w:p>
      <w:pPr>
        <w:ind w:left="660" w:right="80" w:hanging="328"/>
        <w:spacing w:after="0" w:line="234"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Adjusted EBITDA was $12.3 million in 2024 compared to $24.3 million in 2023. The decline in adjusted EBITDA was primarily due to lower net sales, partally ofset by lower operatonal spend.</w:t>
      </w:r>
    </w:p>
    <w:p>
      <w:pPr>
        <w:spacing w:after="0" w:line="50" w:lineRule="exact"/>
        <w:rPr>
          <w:rFonts w:ascii="Calibri" w:cs="Calibri" w:eastAsia="Calibri" w:hAnsi="Calibri"/>
          <w:sz w:val="20"/>
          <w:szCs w:val="20"/>
          <w:color w:val="auto"/>
        </w:rPr>
      </w:pPr>
    </w:p>
    <w:p>
      <w:pPr>
        <w:ind w:left="660" w:right="20" w:hanging="328"/>
        <w:spacing w:after="0" w:line="234" w:lineRule="auto"/>
        <w:tabs>
          <w:tab w:leader="none" w:pos="653" w:val="left"/>
        </w:tabs>
        <w:numPr>
          <w:ilvl w:val="0"/>
          <w:numId w:val="4"/>
        </w:numPr>
        <w:rPr>
          <w:rFonts w:ascii="Calibri" w:cs="Calibri" w:eastAsia="Calibri" w:hAnsi="Calibri"/>
          <w:sz w:val="20"/>
          <w:szCs w:val="20"/>
          <w:color w:val="231F20"/>
        </w:rPr>
      </w:pPr>
      <w:r>
        <w:rPr>
          <w:rFonts w:ascii="Calibri" w:cs="Calibri" w:eastAsia="Calibri" w:hAnsi="Calibri"/>
          <w:sz w:val="20"/>
          <w:szCs w:val="20"/>
          <w:color w:val="auto"/>
        </w:rPr>
        <w:t>The Company placed 4,907 delivery systems in 2024 compared to 8,287 in the prior year, refectng a challenging macroeconomic environment in additon to the prior year internatonal launch of Syndeo.</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Cash Flow Highlights</w:t>
      </w:r>
    </w:p>
    <w:p>
      <w:pPr>
        <w:spacing w:after="0" w:line="49" w:lineRule="exact"/>
        <w:rPr>
          <w:sz w:val="20"/>
          <w:szCs w:val="20"/>
          <w:color w:val="auto"/>
        </w:rPr>
      </w:pPr>
    </w:p>
    <w:p>
      <w:pPr>
        <w:ind w:left="660" w:right="320" w:hanging="328"/>
        <w:spacing w:after="0" w:line="231"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Cash, cash equivalents, and restricted cash were approximately $370.1 million as of December 31, 2024 compared to approximately $523.0 million as of December 31, 2023. The change was primarily due to the repurchase of convertble senior notes during the frst half of 2024.</w:t>
      </w:r>
    </w:p>
    <w:p>
      <w:pPr>
        <w:spacing w:after="0" w:line="64" w:lineRule="exact"/>
        <w:rPr>
          <w:rFonts w:ascii="Calibri" w:cs="Calibri" w:eastAsia="Calibri" w:hAnsi="Calibri"/>
          <w:sz w:val="20"/>
          <w:szCs w:val="20"/>
          <w:color w:val="auto"/>
        </w:rPr>
      </w:pPr>
    </w:p>
    <w:p>
      <w:pPr>
        <w:ind w:left="660" w:right="720" w:hanging="328"/>
        <w:spacing w:after="0" w:line="234"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The Company had approximately 7 million private placement warrants and approximately 124.9 million shares of Class A common stock outstanding as of December 31, 2024.</w:t>
      </w:r>
    </w:p>
    <w:p>
      <w:pPr>
        <w:spacing w:after="0" w:line="28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2025 Financial Guidance</w:t>
      </w:r>
    </w:p>
    <w:p>
      <w:pPr>
        <w:spacing w:after="0" w:line="7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First Quarter 2025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tcBorders>
              <w:top w:val="single" w:sz="8" w:color="auto"/>
              <w:right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sales</w:t>
            </w:r>
          </w:p>
        </w:tc>
        <w:tc>
          <w:tcPr>
            <w:tcW w:w="37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$61 – $66 million</w:t>
            </w:r>
          </w:p>
        </w:tc>
      </w:tr>
      <w:tr>
        <w:trPr>
          <w:trHeight w:val="64"/>
        </w:trPr>
        <w:tc>
          <w:tcPr>
            <w:tcW w:w="7540" w:type="dxa"/>
            <w:vAlign w:val="bottom"/>
            <w:tcBorders>
              <w:right w:val="single" w:sz="8" w:color="auto"/>
            </w:tcBorders>
            <w:shd w:val="clear" w:color="auto" w:fill="CCEEFF"/>
          </w:tcPr>
          <w:p>
            <w:pPr>
              <w:spacing w:after="0"/>
              <w:rPr>
                <w:sz w:val="5"/>
                <w:szCs w:val="5"/>
                <w:color w:val="auto"/>
              </w:rPr>
            </w:pPr>
          </w:p>
        </w:tc>
        <w:tc>
          <w:tcPr>
            <w:tcW w:w="3700" w:type="dxa"/>
            <w:vAlign w:val="bottom"/>
            <w:shd w:val="clear" w:color="auto" w:fill="CCEEFF"/>
          </w:tcPr>
          <w:p>
            <w:pPr>
              <w:spacing w:after="0"/>
              <w:rPr>
                <w:sz w:val="5"/>
                <w:szCs w:val="5"/>
                <w:color w:val="auto"/>
              </w:rPr>
            </w:pPr>
          </w:p>
        </w:tc>
      </w:tr>
      <w:tr>
        <w:trPr>
          <w:trHeight w:val="283"/>
        </w:trPr>
        <w:tc>
          <w:tcPr>
            <w:tcW w:w="7540" w:type="dxa"/>
            <w:vAlign w:val="bottom"/>
            <w:tcBorders>
              <w:right w:val="single" w:sz="8" w:color="auto"/>
            </w:tcBorders>
          </w:tcPr>
          <w:p>
            <w:pPr>
              <w:ind w:left="20"/>
              <w:spacing w:after="0" w:line="27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3"/>
                <w:szCs w:val="23"/>
                <w:color w:val="auto"/>
                <w:vertAlign w:val="superscript"/>
              </w:rPr>
              <w:t>(1)</w:t>
            </w:r>
          </w:p>
        </w:tc>
        <w:tc>
          <w:tcPr>
            <w:tcW w:w="3700" w:type="dxa"/>
            <w:vAlign w:val="bottom"/>
          </w:tcPr>
          <w:p>
            <w:pPr>
              <w:jc w:val="right"/>
              <w:spacing w:after="0"/>
              <w:rPr>
                <w:sz w:val="20"/>
                <w:szCs w:val="20"/>
                <w:color w:val="auto"/>
              </w:rPr>
            </w:pPr>
            <w:r>
              <w:rPr>
                <w:rFonts w:ascii="Calibri" w:cs="Calibri" w:eastAsia="Calibri" w:hAnsi="Calibri"/>
                <w:sz w:val="18"/>
                <w:szCs w:val="18"/>
                <w:color w:val="auto"/>
              </w:rPr>
              <w:t>($6) – ($4) million</w:t>
            </w:r>
          </w:p>
        </w:tc>
      </w:tr>
      <w:tr>
        <w:trPr>
          <w:trHeight w:val="328"/>
        </w:trPr>
        <w:tc>
          <w:tcPr>
            <w:tcW w:w="7540" w:type="dxa"/>
            <w:vAlign w:val="bottom"/>
          </w:tcPr>
          <w:p>
            <w:pPr>
              <w:ind w:left="20"/>
              <w:spacing w:after="0"/>
              <w:rPr>
                <w:sz w:val="20"/>
                <w:szCs w:val="20"/>
                <w:color w:val="auto"/>
              </w:rPr>
            </w:pPr>
            <w:r>
              <w:rPr>
                <w:rFonts w:ascii="Calibri" w:cs="Calibri" w:eastAsia="Calibri" w:hAnsi="Calibri"/>
                <w:sz w:val="18"/>
                <w:szCs w:val="18"/>
                <w:b w:val="1"/>
                <w:bCs w:val="1"/>
                <w:color w:val="auto"/>
              </w:rPr>
              <w:t>Fiscal Year 2025</w:t>
            </w:r>
          </w:p>
        </w:tc>
        <w:tc>
          <w:tcPr>
            <w:tcW w:w="3700" w:type="dxa"/>
            <w:vAlign w:val="bottom"/>
          </w:tcPr>
          <w:p>
            <w:pPr>
              <w:spacing w:after="0"/>
              <w:rPr>
                <w:sz w:val="24"/>
                <w:szCs w:val="24"/>
                <w:color w:val="auto"/>
              </w:rPr>
            </w:pPr>
          </w:p>
        </w:tc>
      </w:tr>
      <w:tr>
        <w:trPr>
          <w:trHeight w:val="64"/>
        </w:trPr>
        <w:tc>
          <w:tcPr>
            <w:tcW w:w="754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r>
      <w:tr>
        <w:trPr>
          <w:trHeight w:val="213"/>
        </w:trPr>
        <w:tc>
          <w:tcPr>
            <w:tcW w:w="7540" w:type="dxa"/>
            <w:vAlign w:val="bottom"/>
            <w:tcBorders>
              <w:right w:val="single" w:sz="8" w:color="auto"/>
            </w:tcBorders>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Net sales</w:t>
            </w:r>
          </w:p>
        </w:tc>
        <w:tc>
          <w:tcPr>
            <w:tcW w:w="370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$270 – $300 million</w:t>
            </w:r>
          </w:p>
        </w:tc>
      </w:tr>
      <w:tr>
        <w:trPr>
          <w:trHeight w:val="64"/>
        </w:trPr>
        <w:tc>
          <w:tcPr>
            <w:tcW w:w="7540" w:type="dxa"/>
            <w:vAlign w:val="bottom"/>
            <w:tcBorders>
              <w:right w:val="single" w:sz="8" w:color="auto"/>
            </w:tcBorders>
            <w:shd w:val="clear" w:color="auto" w:fill="CCEEFF"/>
          </w:tcPr>
          <w:p>
            <w:pPr>
              <w:spacing w:after="0"/>
              <w:rPr>
                <w:sz w:val="5"/>
                <w:szCs w:val="5"/>
                <w:color w:val="auto"/>
              </w:rPr>
            </w:pPr>
          </w:p>
        </w:tc>
        <w:tc>
          <w:tcPr>
            <w:tcW w:w="3700" w:type="dxa"/>
            <w:vAlign w:val="bottom"/>
            <w:shd w:val="clear" w:color="auto" w:fill="CCEEFF"/>
          </w:tcPr>
          <w:p>
            <w:pPr>
              <w:spacing w:after="0"/>
              <w:rPr>
                <w:sz w:val="5"/>
                <w:szCs w:val="5"/>
                <w:color w:val="auto"/>
              </w:rPr>
            </w:pPr>
          </w:p>
        </w:tc>
      </w:tr>
      <w:tr>
        <w:trPr>
          <w:trHeight w:val="284"/>
        </w:trPr>
        <w:tc>
          <w:tcPr>
            <w:tcW w:w="7540" w:type="dxa"/>
            <w:vAlign w:val="bottom"/>
            <w:tcBorders>
              <w:right w:val="single" w:sz="8" w:color="auto"/>
            </w:tcBorders>
          </w:tcPr>
          <w:p>
            <w:pPr>
              <w:ind w:left="20"/>
              <w:spacing w:after="0" w:line="27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3"/>
                <w:szCs w:val="23"/>
                <w:color w:val="auto"/>
                <w:vertAlign w:val="superscript"/>
              </w:rPr>
              <w:t>(1)</w:t>
            </w:r>
          </w:p>
        </w:tc>
        <w:tc>
          <w:tcPr>
            <w:tcW w:w="3700" w:type="dxa"/>
            <w:vAlign w:val="bottom"/>
          </w:tcPr>
          <w:p>
            <w:pPr>
              <w:jc w:val="right"/>
              <w:spacing w:after="0"/>
              <w:rPr>
                <w:sz w:val="20"/>
                <w:szCs w:val="20"/>
                <w:color w:val="auto"/>
              </w:rPr>
            </w:pPr>
            <w:r>
              <w:rPr>
                <w:rFonts w:ascii="Calibri" w:cs="Calibri" w:eastAsia="Calibri" w:hAnsi="Calibri"/>
                <w:sz w:val="18"/>
                <w:szCs w:val="18"/>
                <w:color w:val="auto"/>
              </w:rPr>
              <w:t>$10 – $25 million</w:t>
            </w:r>
          </w:p>
        </w:tc>
      </w:tr>
    </w:tbl>
    <w:p>
      <w:pPr>
        <w:spacing w:after="0" w:line="52"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spacing w:after="0"/>
        <w:rPr>
          <w:sz w:val="20"/>
          <w:szCs w:val="20"/>
          <w:color w:val="auto"/>
        </w:rPr>
      </w:pPr>
      <w:r>
        <w:rPr>
          <w:rFonts w:ascii="Calibri" w:cs="Calibri" w:eastAsia="Calibri" w:hAnsi="Calibri"/>
          <w:sz w:val="16"/>
          <w:szCs w:val="16"/>
          <w:color w:val="auto"/>
        </w:rPr>
        <w:t>(1) See "Non-GAAP Financial Measures" below.</w:t>
      </w:r>
    </w:p>
    <w:p>
      <w:pPr>
        <w:sectPr>
          <w:pgSz w:w="11900" w:h="16838" w:orient="portrait"/>
          <w:cols w:equalWidth="0" w:num="1">
            <w:col w:w="11240"/>
          </w:cols>
          <w:pgMar w:left="320" w:top="1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185" w:right="33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20"/>
          <w:szCs w:val="20"/>
          <w:color w:val="auto"/>
        </w:rPr>
        <w:t>2025 fnancial guidance refects the following assumptons:</w:t>
      </w:r>
    </w:p>
    <w:p>
      <w:pPr>
        <w:spacing w:after="0" w:line="53" w:lineRule="exact"/>
        <w:rPr>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Net sales guidance refects contnued downward pressure on delivery systems net sales.</w:t>
      </w:r>
    </w:p>
    <w:p>
      <w:pPr>
        <w:spacing w:after="0" w:line="49" w:lineRule="exact"/>
        <w:rPr>
          <w:rFonts w:ascii="Calibri" w:cs="Calibri" w:eastAsia="Calibri" w:hAnsi="Calibri"/>
          <w:sz w:val="20"/>
          <w:szCs w:val="20"/>
          <w:color w:val="auto"/>
        </w:rPr>
      </w:pPr>
    </w:p>
    <w:p>
      <w:pPr>
        <w:ind w:left="660" w:right="820" w:hanging="328"/>
        <w:spacing w:after="0" w:line="234"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Assumes no material deterioraton in current general market conditons or other unforeseen circumstances beyond the Company's control, such as foreign currency exchange rates, tarifs, and trade restrictons.</w:t>
      </w:r>
    </w:p>
    <w:p>
      <w:pPr>
        <w:spacing w:after="0" w:line="40" w:lineRule="exact"/>
        <w:rPr>
          <w:rFonts w:ascii="Calibri" w:cs="Calibri" w:eastAsia="Calibri" w:hAnsi="Calibri"/>
          <w:sz w:val="20"/>
          <w:szCs w:val="20"/>
          <w:color w:val="auto"/>
        </w:rPr>
      </w:pPr>
    </w:p>
    <w:p>
      <w:pPr>
        <w:ind w:left="640" w:hanging="308"/>
        <w:spacing w:after="0"/>
        <w:tabs>
          <w:tab w:leader="none" w:pos="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Excludes any unannounced acquisitons, dispositons or fnancings.</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Regional Operatonal and Business Metrics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5"/>
          </w:tcPr>
          <w:p>
            <w:pPr>
              <w:ind w:left="160"/>
              <w:spacing w:after="0"/>
              <w:rPr>
                <w:sz w:val="20"/>
                <w:szCs w:val="20"/>
                <w:color w:val="auto"/>
              </w:rPr>
            </w:pPr>
            <w:r>
              <w:rPr>
                <w:rFonts w:ascii="Calibri" w:cs="Calibri" w:eastAsia="Calibri" w:hAnsi="Calibri"/>
                <w:sz w:val="18"/>
                <w:szCs w:val="18"/>
                <w:b w:val="1"/>
                <w:bCs w:val="1"/>
                <w:color w:val="auto"/>
              </w:rPr>
              <w:t>Three Months Ended December 31,</w:t>
            </w:r>
          </w:p>
        </w:tc>
        <w:tc>
          <w:tcPr>
            <w:tcW w:w="380" w:type="dxa"/>
            <w:vAlign w:val="bottom"/>
          </w:tcPr>
          <w:p>
            <w:pPr>
              <w:spacing w:after="0"/>
              <w:rPr>
                <w:sz w:val="19"/>
                <w:szCs w:val="19"/>
                <w:color w:val="auto"/>
              </w:rPr>
            </w:pPr>
          </w:p>
        </w:tc>
        <w:tc>
          <w:tcPr>
            <w:tcW w:w="3040" w:type="dxa"/>
            <w:vAlign w:val="bottom"/>
            <w:gridSpan w:val="4"/>
          </w:tcPr>
          <w:p>
            <w:pPr>
              <w:jc w:val="right"/>
              <w:ind w:right="690"/>
              <w:spacing w:after="0"/>
              <w:rPr>
                <w:sz w:val="20"/>
                <w:szCs w:val="20"/>
                <w:color w:val="auto"/>
              </w:rPr>
            </w:pPr>
            <w:r>
              <w:rPr>
                <w:rFonts w:ascii="Calibri" w:cs="Calibri" w:eastAsia="Calibri" w:hAnsi="Calibri"/>
                <w:sz w:val="18"/>
                <w:szCs w:val="18"/>
                <w:b w:val="1"/>
                <w:bCs w:val="1"/>
                <w:color w:val="231F20"/>
              </w:rPr>
              <w:t>Year Ended December 31,</w:t>
            </w:r>
          </w:p>
        </w:tc>
        <w:tc>
          <w:tcPr>
            <w:tcW w:w="0" w:type="dxa"/>
            <w:vAlign w:val="bottom"/>
          </w:tcPr>
          <w:p>
            <w:pPr>
              <w:spacing w:after="0"/>
              <w:rPr>
                <w:sz w:val="1"/>
                <w:szCs w:val="1"/>
                <w:color w:val="auto"/>
              </w:rPr>
            </w:pPr>
          </w:p>
        </w:tc>
      </w:tr>
      <w:tr>
        <w:trPr>
          <w:trHeight w:val="64"/>
        </w:trPr>
        <w:tc>
          <w:tcPr>
            <w:tcW w:w="426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 xml:space="preserve">Unaudited ($ in millions) </w:t>
            </w:r>
            <w:r>
              <w:rPr>
                <w:rFonts w:ascii="Calibri" w:cs="Calibri" w:eastAsia="Calibri" w:hAnsi="Calibri"/>
                <w:sz w:val="23"/>
                <w:szCs w:val="23"/>
                <w:b w:val="1"/>
                <w:bCs w:val="1"/>
                <w:color w:val="auto"/>
                <w:vertAlign w:val="superscript"/>
              </w:rPr>
              <w:t>(1)</w:t>
            </w: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vMerge w:val="continue"/>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50"/>
              <w:spacing w:after="0" w:line="215" w:lineRule="exact"/>
              <w:rPr>
                <w:sz w:val="20"/>
                <w:szCs w:val="20"/>
                <w:color w:val="auto"/>
              </w:rPr>
            </w:pPr>
            <w:r>
              <w:rPr>
                <w:rFonts w:ascii="Calibri" w:cs="Calibri" w:eastAsia="Calibri" w:hAnsi="Calibri"/>
                <w:sz w:val="18"/>
                <w:szCs w:val="18"/>
                <w:b w:val="1"/>
                <w:bCs w:val="1"/>
                <w:color w:val="auto"/>
              </w:rPr>
              <w:t>2024</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b w:val="1"/>
                <w:bCs w:val="1"/>
                <w:color w:val="auto"/>
              </w:rPr>
              <w:t>2024</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b w:val="1"/>
                <w:bCs w:val="1"/>
                <w:color w:val="auto"/>
              </w:rPr>
              <w:t>2023</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Delivery Systems net sales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Americas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rPr>
                <w:sz w:val="20"/>
                <w:szCs w:val="20"/>
                <w:color w:val="auto"/>
              </w:rPr>
            </w:pPr>
            <w:r>
              <w:rPr>
                <w:rFonts w:ascii="Calibri" w:cs="Calibri" w:eastAsia="Calibri" w:hAnsi="Calibri"/>
                <w:sz w:val="18"/>
                <w:szCs w:val="18"/>
                <w:color w:val="auto"/>
              </w:rPr>
              <w:t>16.8</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21.8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70.9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95.0</w:t>
            </w:r>
          </w:p>
        </w:tc>
        <w:tc>
          <w:tcPr>
            <w:tcW w:w="0" w:type="dxa"/>
            <w:vAlign w:val="bottom"/>
          </w:tcPr>
          <w:p>
            <w:pPr>
              <w:spacing w:after="0"/>
              <w:rPr>
                <w:sz w:val="1"/>
                <w:szCs w:val="1"/>
                <w:color w:val="auto"/>
              </w:rPr>
            </w:pPr>
          </w:p>
        </w:tc>
      </w:tr>
      <w:tr>
        <w:trPr>
          <w:trHeight w:val="64"/>
        </w:trPr>
        <w:tc>
          <w:tcPr>
            <w:tcW w:w="4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Asia-Pacifc (“APAC”)</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59.4</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Europe, the Middle East and Africa (“EMEA”)</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auto"/>
              </w:rPr>
              <w:t>7.2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52.2</w:t>
            </w:r>
          </w:p>
        </w:tc>
        <w:tc>
          <w:tcPr>
            <w:tcW w:w="0" w:type="dxa"/>
            <w:vAlign w:val="bottom"/>
          </w:tcPr>
          <w:p>
            <w:pPr>
              <w:spacing w:after="0"/>
              <w:rPr>
                <w:sz w:val="1"/>
                <w:szCs w:val="1"/>
                <w:color w:val="auto"/>
              </w:rPr>
            </w:pPr>
          </w:p>
        </w:tc>
      </w:tr>
      <w:tr>
        <w:trPr>
          <w:trHeight w:val="64"/>
        </w:trPr>
        <w:tc>
          <w:tcPr>
            <w:tcW w:w="4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Delivery Systems net sales</w:t>
            </w:r>
          </w:p>
        </w:tc>
        <w:tc>
          <w:tcPr>
            <w:tcW w:w="28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w w:val="87"/>
              </w:rPr>
              <w:t>$</w:t>
            </w:r>
          </w:p>
        </w:tc>
        <w:tc>
          <w:tcPr>
            <w:tcW w:w="13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26.8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125.4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206.6</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Consumables net sales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Americas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rPr>
                <w:sz w:val="20"/>
                <w:szCs w:val="20"/>
                <w:color w:val="auto"/>
              </w:rPr>
            </w:pPr>
            <w:r>
              <w:rPr>
                <w:rFonts w:ascii="Calibri" w:cs="Calibri" w:eastAsia="Calibri" w:hAnsi="Calibri"/>
                <w:sz w:val="18"/>
                <w:szCs w:val="18"/>
                <w:color w:val="auto"/>
              </w:rPr>
              <w:t>40.2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37.5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146.0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132.7</w:t>
            </w:r>
          </w:p>
        </w:tc>
        <w:tc>
          <w:tcPr>
            <w:tcW w:w="0" w:type="dxa"/>
            <w:vAlign w:val="bottom"/>
          </w:tcPr>
          <w:p>
            <w:pPr>
              <w:spacing w:after="0"/>
              <w:rPr>
                <w:sz w:val="1"/>
                <w:szCs w:val="1"/>
                <w:color w:val="auto"/>
              </w:rPr>
            </w:pPr>
          </w:p>
        </w:tc>
      </w:tr>
      <w:tr>
        <w:trPr>
          <w:trHeight w:val="64"/>
        </w:trPr>
        <w:tc>
          <w:tcPr>
            <w:tcW w:w="4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APAC</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22.8</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EMEA</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35.9</w:t>
            </w:r>
          </w:p>
        </w:tc>
        <w:tc>
          <w:tcPr>
            <w:tcW w:w="0" w:type="dxa"/>
            <w:vAlign w:val="bottom"/>
          </w:tcPr>
          <w:p>
            <w:pPr>
              <w:spacing w:after="0"/>
              <w:rPr>
                <w:sz w:val="1"/>
                <w:szCs w:val="1"/>
                <w:color w:val="auto"/>
              </w:rPr>
            </w:pPr>
          </w:p>
        </w:tc>
      </w:tr>
      <w:tr>
        <w:trPr>
          <w:trHeight w:val="64"/>
        </w:trPr>
        <w:tc>
          <w:tcPr>
            <w:tcW w:w="4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Consumables net sales</w:t>
            </w:r>
          </w:p>
        </w:tc>
        <w:tc>
          <w:tcPr>
            <w:tcW w:w="28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w w:val="87"/>
              </w:rPr>
              <w:t>$</w:t>
            </w:r>
          </w:p>
        </w:tc>
        <w:tc>
          <w:tcPr>
            <w:tcW w:w="13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208.9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191.4</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sales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Americas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1380" w:type="dxa"/>
            <w:vAlign w:val="bottom"/>
          </w:tcPr>
          <w:p>
            <w:pPr>
              <w:jc w:val="right"/>
              <w:spacing w:after="0"/>
              <w:rPr>
                <w:sz w:val="20"/>
                <w:szCs w:val="20"/>
                <w:color w:val="auto"/>
              </w:rPr>
            </w:pPr>
            <w:r>
              <w:rPr>
                <w:rFonts w:ascii="Calibri" w:cs="Calibri" w:eastAsia="Calibri" w:hAnsi="Calibri"/>
                <w:sz w:val="18"/>
                <w:szCs w:val="18"/>
                <w:color w:val="auto"/>
              </w:rPr>
              <w:t>57.1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59.4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217.0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227.7</w:t>
            </w:r>
          </w:p>
        </w:tc>
        <w:tc>
          <w:tcPr>
            <w:tcW w:w="0" w:type="dxa"/>
            <w:vAlign w:val="bottom"/>
          </w:tcPr>
          <w:p>
            <w:pPr>
              <w:spacing w:after="0"/>
              <w:rPr>
                <w:sz w:val="1"/>
                <w:szCs w:val="1"/>
                <w:color w:val="auto"/>
              </w:rPr>
            </w:pPr>
          </w:p>
        </w:tc>
      </w:tr>
      <w:tr>
        <w:trPr>
          <w:trHeight w:val="64"/>
        </w:trPr>
        <w:tc>
          <w:tcPr>
            <w:tcW w:w="4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APAC</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45.7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82.2</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EMEA</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auto"/>
              </w:rPr>
              <w:t>17.2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71.6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88.1</w:t>
            </w:r>
          </w:p>
        </w:tc>
        <w:tc>
          <w:tcPr>
            <w:tcW w:w="0" w:type="dxa"/>
            <w:vAlign w:val="bottom"/>
          </w:tcPr>
          <w:p>
            <w:pPr>
              <w:spacing w:after="0"/>
              <w:rPr>
                <w:sz w:val="1"/>
                <w:szCs w:val="1"/>
                <w:color w:val="auto"/>
              </w:rPr>
            </w:pPr>
          </w:p>
        </w:tc>
      </w:tr>
      <w:tr>
        <w:trPr>
          <w:trHeight w:val="64"/>
        </w:trPr>
        <w:tc>
          <w:tcPr>
            <w:tcW w:w="4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net sales</w:t>
            </w:r>
          </w:p>
        </w:tc>
        <w:tc>
          <w:tcPr>
            <w:tcW w:w="280" w:type="dxa"/>
            <w:vAlign w:val="bottom"/>
            <w:shd w:val="clear" w:color="auto" w:fill="CCEEFF"/>
          </w:tcPr>
          <w:p>
            <w:pPr>
              <w:jc w:val="right"/>
              <w:ind w:right="90"/>
              <w:spacing w:after="0" w:line="213" w:lineRule="exact"/>
              <w:rPr>
                <w:sz w:val="20"/>
                <w:szCs w:val="20"/>
                <w:color w:val="auto"/>
              </w:rPr>
            </w:pPr>
            <w:r>
              <w:rPr>
                <w:rFonts w:ascii="Calibri" w:cs="Calibri" w:eastAsia="Calibri" w:hAnsi="Calibri"/>
                <w:sz w:val="18"/>
                <w:szCs w:val="18"/>
                <w:color w:val="auto"/>
                <w:w w:val="87"/>
              </w:rPr>
              <w:t>$</w:t>
            </w:r>
          </w:p>
        </w:tc>
        <w:tc>
          <w:tcPr>
            <w:tcW w:w="13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83.5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334.3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line="213"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398.0</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Delivery Systems sold</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Americas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auto"/>
              </w:rPr>
              <w:t>649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758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2,695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3,603</w:t>
            </w:r>
          </w:p>
        </w:tc>
        <w:tc>
          <w:tcPr>
            <w:tcW w:w="0" w:type="dxa"/>
            <w:vAlign w:val="bottom"/>
          </w:tcPr>
          <w:p>
            <w:pPr>
              <w:spacing w:after="0"/>
              <w:rPr>
                <w:sz w:val="1"/>
                <w:szCs w:val="1"/>
                <w:color w:val="auto"/>
              </w:rPr>
            </w:pPr>
          </w:p>
        </w:tc>
      </w:tr>
      <w:tr>
        <w:trPr>
          <w:trHeight w:val="64"/>
        </w:trPr>
        <w:tc>
          <w:tcPr>
            <w:tcW w:w="4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APAC</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911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2,392</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Calibri" w:cs="Calibri" w:eastAsia="Calibri" w:hAnsi="Calibri"/>
                <w:sz w:val="18"/>
                <w:szCs w:val="18"/>
                <w:color w:val="auto"/>
              </w:rPr>
              <w:t>EMEA</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auto"/>
              </w:rPr>
              <w:t>298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1,301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2,292</w:t>
            </w:r>
          </w:p>
        </w:tc>
        <w:tc>
          <w:tcPr>
            <w:tcW w:w="0" w:type="dxa"/>
            <w:vAlign w:val="bottom"/>
          </w:tcPr>
          <w:p>
            <w:pPr>
              <w:spacing w:after="0"/>
              <w:rPr>
                <w:sz w:val="1"/>
                <w:szCs w:val="1"/>
                <w:color w:val="auto"/>
              </w:rPr>
            </w:pPr>
          </w:p>
        </w:tc>
      </w:tr>
      <w:tr>
        <w:trPr>
          <w:trHeight w:val="64"/>
        </w:trPr>
        <w:tc>
          <w:tcPr>
            <w:tcW w:w="4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Total Delivery Systems sold</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1,087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1,551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4,907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8,287</w:t>
            </w:r>
          </w:p>
        </w:tc>
        <w:tc>
          <w:tcPr>
            <w:tcW w:w="0" w:type="dxa"/>
            <w:vAlign w:val="bottom"/>
          </w:tcPr>
          <w:p>
            <w:pPr>
              <w:spacing w:after="0"/>
              <w:rPr>
                <w:sz w:val="1"/>
                <w:szCs w:val="1"/>
                <w:color w:val="auto"/>
              </w:rPr>
            </w:pPr>
          </w:p>
        </w:tc>
      </w:tr>
      <w:tr>
        <w:trPr>
          <w:trHeight w:val="64"/>
        </w:trPr>
        <w:tc>
          <w:tcPr>
            <w:tcW w:w="4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spacing w:after="0"/>
        <w:rPr>
          <w:sz w:val="20"/>
          <w:szCs w:val="20"/>
          <w:color w:val="auto"/>
        </w:rPr>
      </w:pPr>
      <w:r>
        <w:rPr>
          <w:rFonts w:ascii="Calibri" w:cs="Calibri" w:eastAsia="Calibri" w:hAnsi="Calibri"/>
          <w:sz w:val="16"/>
          <w:szCs w:val="16"/>
          <w:color w:val="auto"/>
        </w:rPr>
        <w:t>(1) Amounts may not sum due to rounding.</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17"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BeautyHealth will host a conference call on Wednesday, March 12, 2025, at 4:30 p.m. ET to review its fourth quarter and full year 2024 fnancial results. The call may be accessed via live webcast through the Events &amp; Presentatons page on our Investor Relatons website at htps://investors.beautyhealth.com. A replay of the conference call will be available approximately three hours afer the conclusion of the call and can be accessed online at htps://investors.beautyhealth.com.</w:t>
      </w:r>
    </w:p>
    <w:p>
      <w:pPr>
        <w:sectPr>
          <w:pgSz w:w="11900" w:h="16838" w:orient="portrait"/>
          <w:cols w:equalWidth="0" w:num="1">
            <w:col w:w="11240"/>
          </w:cols>
          <w:pgMar w:left="320" w:top="1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185" w:right="3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Non-GAAP Financial Measures</w:t>
      </w:r>
    </w:p>
    <w:p>
      <w:pPr>
        <w:spacing w:after="0" w:line="117"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In additon to results determined in accordance with accountng principles generally accepted in the United States of America ("GAAP"), management utlizes certain non-GAAP fnancial measures such as adjusted gross proft, adjusted gross margin, adjusted EBITDA, and adjusted EBITDA margin for purposes of evaluatng ongoing operatons and for internal planning and forecastng purposes.</w:t>
      </w:r>
    </w:p>
    <w:p>
      <w:pPr>
        <w:spacing w:after="0" w:line="238"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Management believes that these non-GAAP fnancial measures, when reviewed collectvely with the Company’s GAAP fnancial informaton, provide useful supplemental informaton to investors in assessing the Company's operatng performance. These non-GAAP fnancial measures should not be considered as an alternatve to GAAP fnancial informaton or as an indicaton of operatng performance or any other measure of performance derived in accordance with GAAP, and may not provide informaton that is directly comparable to that provided by other companies in its industry, as these other companies may calculate non-GAAP fnancial measures diferently, partcularly related to unusual items.</w:t>
      </w:r>
    </w:p>
    <w:p>
      <w:pPr>
        <w:spacing w:after="0" w:line="252" w:lineRule="exact"/>
        <w:rPr>
          <w:sz w:val="20"/>
          <w:szCs w:val="20"/>
          <w:color w:val="auto"/>
        </w:rPr>
      </w:pPr>
    </w:p>
    <w:p>
      <w:pPr>
        <w:ind w:right="420"/>
        <w:spacing w:after="0" w:line="233" w:lineRule="auto"/>
        <w:rPr>
          <w:sz w:val="20"/>
          <w:szCs w:val="20"/>
          <w:color w:val="auto"/>
        </w:rPr>
      </w:pPr>
      <w:r>
        <w:rPr>
          <w:rFonts w:ascii="Calibri" w:cs="Calibri" w:eastAsia="Calibri" w:hAnsi="Calibri"/>
          <w:sz w:val="20"/>
          <w:szCs w:val="20"/>
          <w:color w:val="auto"/>
        </w:rPr>
        <w:t>Adjusted gross proft is gross proft excluding the efects of depreciaton expense, amortzaton expense, share-based compensaton expense and other items such as manufacturing optmizaton costs; write-of of discontnued, excess and obsolete product; Syndeo Program; Syndeo product optmizaton logistcs &amp; service costs; and Go-to-Market restructuring. Adjusted gross margin represents adjusted gross proft as a percentage of net sales.</w:t>
      </w:r>
    </w:p>
    <w:p>
      <w:pPr>
        <w:spacing w:after="0" w:line="240"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Adjusted EBITDA is calculated as net loss excluding the efects of (beneft) expense for income taxes; depreciaton expense; amortzaton expense; share-based compensaton expense; interest expense; interest income; other (income) expense, net; change in fair value of warrant liabilites; foreign currency loss (gain), net; manufacturing optmizaton costs; write-of of discontnued, excess and obsolete product; Syndeo Program; Syndeo product optmizaton logistcs &amp; service costs; Go-to-Market restructuring; litgaton related costs; transacton related costs; and severance, restructuring and other. Adjusted EBITDA margin represents adjusted EBITDA as a percentage of net sales.</w:t>
      </w:r>
    </w:p>
    <w:p>
      <w:pPr>
        <w:spacing w:after="0" w:line="251"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The Company does not provide a reconciliaton of its fscal 2025 adjusted EBITDA guidance to net loss, the most directly comparable forward looking GAAP fnancial measures, due to the inherent difculty in forecastng and quantfying certain amounts that are necessary for such reconciliaton, which cannot be done without unreasonable eforts, including adjustments that could be made for changes in fair value of warrant liabilites, integraton and acquisiton-related expenses, amortzaton expenses, non-cash share-based compensaton, gains/losses on foreign currency, and other charges refected in our reconciliaton of historic numbers, the amount of which, based on historical experience, could be signifcant. The presentaton of this fnancial informaton is not intended to be considered in isolaton or as a substtute for the fnancial informaton prepared and presented in accordance with GAAP. The Company's fscal 2025 adjusted EBITDA guidance is merely an outlook and is not a guarantee of future performance. Stockholders should not rely or place an undue reliance on such forward-looking statements. See “Forward-Looking Statements” for additonal informaton.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00"/>
          </w:cols>
          <w:pgMar w:left="320" w:top="1185" w:right="37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18"/>
          <w:szCs w:val="18"/>
          <w:b w:val="1"/>
          <w:bCs w:val="1"/>
          <w:color w:val="auto"/>
        </w:rPr>
        <w:t>The Beauty Health Company</w:t>
      </w:r>
    </w:p>
    <w:p>
      <w:pPr>
        <w:ind w:left="3780"/>
        <w:spacing w:after="0" w:line="216" w:lineRule="auto"/>
        <w:rPr>
          <w:sz w:val="20"/>
          <w:szCs w:val="20"/>
          <w:color w:val="auto"/>
        </w:rPr>
      </w:pPr>
      <w:r>
        <w:rPr>
          <w:rFonts w:ascii="Calibri" w:cs="Calibri" w:eastAsia="Calibri" w:hAnsi="Calibri"/>
          <w:sz w:val="18"/>
          <w:szCs w:val="18"/>
          <w:b w:val="1"/>
          <w:bCs w:val="1"/>
          <w:color w:val="auto"/>
        </w:rPr>
        <w:t xml:space="preserve">Consolidated Statements of Comprehensive Loss </w:t>
      </w:r>
      <w:r>
        <w:rPr>
          <w:rFonts w:ascii="Calibri" w:cs="Calibri" w:eastAsia="Calibri" w:hAnsi="Calibri"/>
          <w:sz w:val="23"/>
          <w:szCs w:val="23"/>
          <w:b w:val="1"/>
          <w:bCs w:val="1"/>
          <w:color w:val="auto"/>
          <w:vertAlign w:val="superscript"/>
        </w:rPr>
        <w:t>(1)</w:t>
      </w:r>
    </w:p>
    <w:p>
      <w:pPr>
        <w:ind w:left="3760"/>
        <w:spacing w:after="0" w:line="195" w:lineRule="auto"/>
        <w:rPr>
          <w:sz w:val="20"/>
          <w:szCs w:val="20"/>
          <w:color w:val="auto"/>
        </w:rPr>
      </w:pPr>
      <w:r>
        <w:rPr>
          <w:rFonts w:ascii="Calibri" w:cs="Calibri" w:eastAsia="Calibri" w:hAnsi="Calibri"/>
          <w:sz w:val="18"/>
          <w:szCs w:val="18"/>
          <w:b w:val="1"/>
          <w:bCs w:val="1"/>
          <w:color w:val="auto"/>
        </w:rPr>
        <w:t>($ in millions, except share and per share amounts)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alibri" w:cs="Calibri" w:eastAsia="Calibri" w:hAnsi="Calibri"/>
                <w:sz w:val="14"/>
                <w:szCs w:val="14"/>
                <w:b w:val="1"/>
                <w:bCs w:val="1"/>
                <w:color w:val="231F20"/>
              </w:rPr>
              <w:t>Three Months Ended December 31,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4"/>
          </w:tcPr>
          <w:p>
            <w:pPr>
              <w:jc w:val="right"/>
              <w:ind w:right="832"/>
              <w:spacing w:after="0"/>
              <w:rPr>
                <w:sz w:val="20"/>
                <w:szCs w:val="20"/>
                <w:color w:val="auto"/>
              </w:rPr>
            </w:pPr>
            <w:r>
              <w:rPr>
                <w:rFonts w:ascii="Calibri" w:cs="Calibri" w:eastAsia="Calibri" w:hAnsi="Calibri"/>
                <w:sz w:val="14"/>
                <w:szCs w:val="14"/>
                <w:b w:val="1"/>
                <w:bCs w:val="1"/>
                <w:color w:val="231F20"/>
              </w:rPr>
              <w:t>Year Ended December 31,</w:t>
            </w:r>
          </w:p>
        </w:tc>
      </w:tr>
      <w:tr>
        <w:trPr>
          <w:trHeight w:val="60"/>
        </w:trPr>
        <w:tc>
          <w:tcPr>
            <w:tcW w:w="46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176"/>
        </w:trPr>
        <w:tc>
          <w:tcPr>
            <w:tcW w:w="4600" w:type="dxa"/>
            <w:vAlign w:val="bottom"/>
          </w:tcPr>
          <w:p>
            <w:pPr>
              <w:spacing w:after="0"/>
              <w:rPr>
                <w:sz w:val="15"/>
                <w:szCs w:val="15"/>
                <w:color w:val="auto"/>
              </w:rPr>
            </w:pPr>
          </w:p>
        </w:tc>
        <w:tc>
          <w:tcPr>
            <w:tcW w:w="1040" w:type="dxa"/>
            <w:vAlign w:val="bottom"/>
          </w:tcPr>
          <w:p>
            <w:pPr>
              <w:jc w:val="right"/>
              <w:ind w:right="42"/>
              <w:spacing w:after="0"/>
              <w:rPr>
                <w:sz w:val="20"/>
                <w:szCs w:val="20"/>
                <w:color w:val="auto"/>
              </w:rPr>
            </w:pPr>
            <w:r>
              <w:rPr>
                <w:rFonts w:ascii="Calibri" w:cs="Calibri" w:eastAsia="Calibri" w:hAnsi="Calibri"/>
                <w:sz w:val="14"/>
                <w:szCs w:val="14"/>
                <w:b w:val="1"/>
                <w:bCs w:val="1"/>
                <w:color w:val="231F20"/>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59"/>
              <w:spacing w:after="0"/>
              <w:rPr>
                <w:sz w:val="20"/>
                <w:szCs w:val="20"/>
                <w:color w:val="auto"/>
              </w:rPr>
            </w:pPr>
            <w:r>
              <w:rPr>
                <w:rFonts w:ascii="Calibri" w:cs="Calibri" w:eastAsia="Calibri" w:hAnsi="Calibri"/>
                <w:sz w:val="14"/>
                <w:szCs w:val="14"/>
                <w:b w:val="1"/>
                <w:bCs w:val="1"/>
                <w:color w:val="231F20"/>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34"/>
              <w:spacing w:after="0"/>
              <w:rPr>
                <w:sz w:val="20"/>
                <w:szCs w:val="20"/>
                <w:color w:val="auto"/>
              </w:rPr>
            </w:pPr>
            <w:r>
              <w:rPr>
                <w:rFonts w:ascii="Calibri" w:cs="Calibri" w:eastAsia="Calibri" w:hAnsi="Calibri"/>
                <w:sz w:val="14"/>
                <w:szCs w:val="14"/>
                <w:b w:val="1"/>
                <w:bCs w:val="1"/>
                <w:color w:val="231F20"/>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Calibri" w:cs="Calibri" w:eastAsia="Calibri" w:hAnsi="Calibri"/>
                <w:sz w:val="14"/>
                <w:szCs w:val="14"/>
                <w:b w:val="1"/>
                <w:bCs w:val="1"/>
                <w:color w:val="231F20"/>
              </w:rPr>
              <w:t>2023</w:t>
            </w:r>
          </w:p>
        </w:tc>
      </w:tr>
      <w:tr>
        <w:trPr>
          <w:trHeight w:val="47"/>
        </w:trPr>
        <w:tc>
          <w:tcPr>
            <w:tcW w:w="46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13"/>
        </w:trPr>
        <w:tc>
          <w:tcPr>
            <w:tcW w:w="460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b w:val="1"/>
                <w:bCs w:val="1"/>
                <w:color w:val="231F20"/>
              </w:rPr>
              <w:t>Net sales</w:t>
            </w:r>
          </w:p>
        </w:tc>
        <w:tc>
          <w:tcPr>
            <w:tcW w:w="1040" w:type="dxa"/>
            <w:vAlign w:val="bottom"/>
            <w:shd w:val="clear" w:color="auto" w:fill="CCEEFF"/>
          </w:tcPr>
          <w:p>
            <w:pPr>
              <w:jc w:val="right"/>
              <w:ind w:right="862"/>
              <w:spacing w:after="0" w:line="213" w:lineRule="exact"/>
              <w:rPr>
                <w:sz w:val="20"/>
                <w:szCs w:val="20"/>
                <w:color w:val="auto"/>
              </w:rPr>
            </w:pPr>
            <w:r>
              <w:rPr>
                <w:rFonts w:ascii="Calibri" w:cs="Calibri" w:eastAsia="Calibri" w:hAnsi="Calibri"/>
                <w:sz w:val="18"/>
                <w:szCs w:val="18"/>
                <w:color w:val="231F20"/>
                <w:w w:val="87"/>
              </w:rPr>
              <w:t>$</w:t>
            </w:r>
          </w:p>
        </w:tc>
        <w:tc>
          <w:tcPr>
            <w:tcW w:w="50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83.5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line="213" w:lineRule="exact"/>
              <w:rPr>
                <w:sz w:val="20"/>
                <w:szCs w:val="20"/>
                <w:color w:val="auto"/>
              </w:rPr>
            </w:pPr>
            <w:r>
              <w:rPr>
                <w:rFonts w:ascii="Calibri" w:cs="Calibri" w:eastAsia="Calibri" w:hAnsi="Calibri"/>
                <w:sz w:val="18"/>
                <w:szCs w:val="18"/>
                <w:color w:val="231F20"/>
                <w:w w:val="87"/>
              </w:rPr>
              <w:t>$</w:t>
            </w:r>
          </w:p>
        </w:tc>
        <w:tc>
          <w:tcPr>
            <w:tcW w:w="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96.8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213" w:lineRule="exact"/>
              <w:rPr>
                <w:sz w:val="20"/>
                <w:szCs w:val="20"/>
                <w:color w:val="auto"/>
              </w:rPr>
            </w:pPr>
            <w:r>
              <w:rPr>
                <w:rFonts w:ascii="Calibri" w:cs="Calibri" w:eastAsia="Calibri" w:hAnsi="Calibri"/>
                <w:sz w:val="18"/>
                <w:szCs w:val="18"/>
                <w:color w:val="231F20"/>
                <w:w w:val="87"/>
              </w:rPr>
              <w:t>$</w:t>
            </w:r>
          </w:p>
        </w:tc>
        <w:tc>
          <w:tcPr>
            <w:tcW w:w="132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334.3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0"/>
              <w:spacing w:after="0" w:line="213" w:lineRule="exact"/>
              <w:rPr>
                <w:sz w:val="20"/>
                <w:szCs w:val="20"/>
                <w:color w:val="auto"/>
              </w:rPr>
            </w:pPr>
            <w:r>
              <w:rPr>
                <w:rFonts w:ascii="Calibri" w:cs="Calibri" w:eastAsia="Calibri" w:hAnsi="Calibri"/>
                <w:sz w:val="18"/>
                <w:szCs w:val="18"/>
                <w:color w:val="231F20"/>
              </w:rPr>
              <w:t>$</w:t>
            </w:r>
          </w:p>
        </w:tc>
        <w:tc>
          <w:tcPr>
            <w:tcW w:w="11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398.0</w:t>
            </w:r>
          </w:p>
        </w:tc>
      </w:tr>
      <w:tr>
        <w:trPr>
          <w:trHeight w:val="64"/>
        </w:trPr>
        <w:tc>
          <w:tcPr>
            <w:tcW w:w="46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19"/>
        </w:trPr>
        <w:tc>
          <w:tcPr>
            <w:tcW w:w="4600" w:type="dxa"/>
            <w:vAlign w:val="bottom"/>
          </w:tcPr>
          <w:p>
            <w:pPr>
              <w:ind w:left="20"/>
              <w:spacing w:after="0"/>
              <w:rPr>
                <w:sz w:val="20"/>
                <w:szCs w:val="20"/>
                <w:color w:val="auto"/>
              </w:rPr>
            </w:pPr>
            <w:r>
              <w:rPr>
                <w:rFonts w:ascii="Calibri" w:cs="Calibri" w:eastAsia="Calibri" w:hAnsi="Calibri"/>
                <w:sz w:val="18"/>
                <w:szCs w:val="18"/>
                <w:color w:val="231F20"/>
              </w:rPr>
              <w:t>Cost of sales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Calibri" w:cs="Calibri" w:eastAsia="Calibri" w:hAnsi="Calibri"/>
                <w:sz w:val="18"/>
                <w:szCs w:val="18"/>
                <w:color w:val="231F20"/>
              </w:rPr>
              <w:t>31.1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Calibri" w:cs="Calibri" w:eastAsia="Calibri" w:hAnsi="Calibri"/>
                <w:sz w:val="18"/>
                <w:szCs w:val="18"/>
                <w:color w:val="231F20"/>
              </w:rPr>
              <w:t>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231F20"/>
              </w:rPr>
              <w:t>152.0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231F20"/>
              </w:rPr>
              <w:t>242.9</w:t>
            </w:r>
          </w:p>
        </w:tc>
      </w:tr>
      <w:tr>
        <w:trPr>
          <w:trHeight w:val="64"/>
        </w:trPr>
        <w:tc>
          <w:tcPr>
            <w:tcW w:w="46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7"/>
        </w:trPr>
        <w:tc>
          <w:tcPr>
            <w:tcW w:w="460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b w:val="1"/>
                <w:bCs w:val="1"/>
                <w:color w:val="231F20"/>
              </w:rPr>
              <w:t>Gross proft</w:t>
            </w:r>
          </w:p>
        </w:tc>
        <w:tc>
          <w:tcPr>
            <w:tcW w:w="10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52.3</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182.3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155.1</w:t>
            </w:r>
          </w:p>
        </w:tc>
      </w:tr>
      <w:tr>
        <w:trPr>
          <w:trHeight w:val="200"/>
        </w:trPr>
        <w:tc>
          <w:tcPr>
            <w:tcW w:w="4600" w:type="dxa"/>
            <w:vAlign w:val="bottom"/>
          </w:tcPr>
          <w:p>
            <w:pPr>
              <w:ind w:left="20"/>
              <w:spacing w:after="0" w:line="199" w:lineRule="exact"/>
              <w:rPr>
                <w:sz w:val="20"/>
                <w:szCs w:val="20"/>
                <w:color w:val="auto"/>
              </w:rPr>
            </w:pPr>
            <w:r>
              <w:rPr>
                <w:rFonts w:ascii="Calibri" w:cs="Calibri" w:eastAsia="Calibri" w:hAnsi="Calibri"/>
                <w:sz w:val="18"/>
                <w:szCs w:val="18"/>
                <w:color w:val="231F20"/>
              </w:rPr>
              <w:t>Operatng expenses:</w:t>
            </w: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64"/>
        </w:trPr>
        <w:tc>
          <w:tcPr>
            <w:tcW w:w="4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63"/>
        </w:trPr>
        <w:tc>
          <w:tcPr>
            <w:tcW w:w="460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231F20"/>
              </w:rPr>
              <w:t>Selling and marketng</w:t>
            </w:r>
          </w:p>
        </w:tc>
        <w:tc>
          <w:tcPr>
            <w:tcW w:w="1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118.3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144.5</w:t>
            </w:r>
          </w:p>
        </w:tc>
      </w:tr>
      <w:tr>
        <w:trPr>
          <w:trHeight w:val="233"/>
        </w:trPr>
        <w:tc>
          <w:tcPr>
            <w:tcW w:w="4600" w:type="dxa"/>
            <w:vAlign w:val="bottom"/>
          </w:tcPr>
          <w:p>
            <w:pPr>
              <w:ind w:left="460"/>
              <w:spacing w:after="0"/>
              <w:rPr>
                <w:sz w:val="20"/>
                <w:szCs w:val="20"/>
                <w:color w:val="auto"/>
              </w:rPr>
            </w:pPr>
            <w:r>
              <w:rPr>
                <w:rFonts w:ascii="Calibri" w:cs="Calibri" w:eastAsia="Calibri" w:hAnsi="Calibri"/>
                <w:sz w:val="18"/>
                <w:szCs w:val="18"/>
                <w:color w:val="231F20"/>
              </w:rPr>
              <w:t>Research and development</w:t>
            </w: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Calibri" w:cs="Calibri" w:eastAsia="Calibri" w:hAnsi="Calibri"/>
                <w:sz w:val="18"/>
                <w:szCs w:val="18"/>
                <w:color w:val="231F20"/>
              </w:rPr>
              <w:t>1.2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Calibri" w:cs="Calibri" w:eastAsia="Calibri" w:hAnsi="Calibri"/>
                <w:sz w:val="18"/>
                <w:szCs w:val="18"/>
                <w:color w:val="231F20"/>
              </w:rPr>
              <w:t>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231F20"/>
              </w:rPr>
              <w:t>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231F20"/>
              </w:rPr>
              <w:t>10.1</w:t>
            </w:r>
          </w:p>
        </w:tc>
      </w:tr>
      <w:tr>
        <w:trPr>
          <w:trHeight w:val="50"/>
        </w:trPr>
        <w:tc>
          <w:tcPr>
            <w:tcW w:w="4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3"/>
        </w:trPr>
        <w:tc>
          <w:tcPr>
            <w:tcW w:w="460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231F20"/>
              </w:rPr>
              <w:t>General and administratve</w:t>
            </w:r>
          </w:p>
        </w:tc>
        <w:tc>
          <w:tcPr>
            <w:tcW w:w="10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31.8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29.0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125.5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131.4</w:t>
            </w:r>
          </w:p>
        </w:tc>
      </w:tr>
      <w:tr>
        <w:trPr>
          <w:trHeight w:val="213"/>
        </w:trPr>
        <w:tc>
          <w:tcPr>
            <w:tcW w:w="4600" w:type="dxa"/>
            <w:vAlign w:val="bottom"/>
          </w:tcPr>
          <w:p>
            <w:pPr>
              <w:ind w:left="840"/>
              <w:spacing w:after="0" w:line="213" w:lineRule="exact"/>
              <w:rPr>
                <w:sz w:val="20"/>
                <w:szCs w:val="20"/>
                <w:color w:val="auto"/>
              </w:rPr>
            </w:pPr>
            <w:r>
              <w:rPr>
                <w:rFonts w:ascii="Calibri" w:cs="Calibri" w:eastAsia="Calibri" w:hAnsi="Calibri"/>
                <w:sz w:val="18"/>
                <w:szCs w:val="18"/>
                <w:color w:val="231F20"/>
              </w:rPr>
              <w:t>Total operatng expenses</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231F20"/>
              </w:rPr>
              <w:t>59.5</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231F20"/>
              </w:rPr>
              <w:t>64.0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231F20"/>
              </w:rPr>
              <w:t>250.1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231F20"/>
              </w:rPr>
              <w:t>286.0</w:t>
            </w:r>
          </w:p>
        </w:tc>
      </w:tr>
      <w:tr>
        <w:trPr>
          <w:trHeight w:val="64"/>
        </w:trPr>
        <w:tc>
          <w:tcPr>
            <w:tcW w:w="46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57"/>
        </w:trPr>
        <w:tc>
          <w:tcPr>
            <w:tcW w:w="46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b w:val="1"/>
                <w:bCs w:val="1"/>
                <w:color w:val="231F20"/>
              </w:rPr>
              <w:t>Loss from operatons</w:t>
            </w:r>
          </w:p>
        </w:tc>
        <w:tc>
          <w:tcPr>
            <w:tcW w:w="1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(67.8)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(130.9)</w:t>
            </w:r>
          </w:p>
        </w:tc>
      </w:tr>
      <w:tr>
        <w:trPr>
          <w:trHeight w:val="20"/>
        </w:trPr>
        <w:tc>
          <w:tcPr>
            <w:tcW w:w="4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4" w:right="339" w:bottom="1440" w:gutter="0" w:footer="0" w:header="0"/>
        </w:sectPr>
      </w:pPr>
    </w:p>
    <w:p>
      <w:pPr>
        <w:spacing w:after="0" w:line="12" w:lineRule="exact"/>
        <w:rPr>
          <w:sz w:val="20"/>
          <w:szCs w:val="20"/>
          <w:color w:val="auto"/>
        </w:rPr>
      </w:pPr>
    </w:p>
    <w:p>
      <w:pPr>
        <w:ind w:left="460"/>
        <w:spacing w:after="0"/>
        <w:rPr>
          <w:sz w:val="20"/>
          <w:szCs w:val="20"/>
          <w:color w:val="auto"/>
        </w:rPr>
      </w:pPr>
      <w:r>
        <w:rPr>
          <w:rFonts w:ascii="Calibri" w:cs="Calibri" w:eastAsia="Calibri" w:hAnsi="Calibri"/>
          <w:sz w:val="18"/>
          <w:szCs w:val="18"/>
          <w:color w:val="231F20"/>
        </w:rPr>
        <w:t>Interest expense</w:t>
      </w:r>
    </w:p>
    <w:p>
      <w:pPr>
        <w:spacing w:after="0" w:line="64" w:lineRule="exact"/>
        <w:rPr>
          <w:sz w:val="20"/>
          <w:szCs w:val="20"/>
          <w:color w:val="auto"/>
        </w:rPr>
      </w:pPr>
    </w:p>
    <w:p>
      <w:pPr>
        <w:ind w:left="460"/>
        <w:spacing w:after="0"/>
        <w:rPr>
          <w:sz w:val="20"/>
          <w:szCs w:val="20"/>
          <w:color w:val="auto"/>
        </w:rPr>
      </w:pPr>
      <w:r>
        <w:rPr>
          <w:rFonts w:ascii="Calibri" w:cs="Calibri" w:eastAsia="Calibri" w:hAnsi="Calibri"/>
          <w:sz w:val="18"/>
          <w:szCs w:val="18"/>
          <w:color w:val="231F20"/>
        </w:rPr>
        <w:t>Interest income</w:t>
      </w:r>
    </w:p>
    <w:p>
      <w:pPr>
        <w:spacing w:after="0" w:line="64" w:lineRule="exact"/>
        <w:rPr>
          <w:sz w:val="20"/>
          <w:szCs w:val="20"/>
          <w:color w:val="auto"/>
        </w:rPr>
      </w:pPr>
    </w:p>
    <w:p>
      <w:pPr>
        <w:ind w:left="460"/>
        <w:spacing w:after="0"/>
        <w:rPr>
          <w:sz w:val="20"/>
          <w:szCs w:val="20"/>
          <w:color w:val="auto"/>
        </w:rPr>
      </w:pPr>
      <w:r>
        <w:rPr>
          <w:rFonts w:ascii="Calibri" w:cs="Calibri" w:eastAsia="Calibri" w:hAnsi="Calibri"/>
          <w:sz w:val="18"/>
          <w:szCs w:val="18"/>
          <w:color w:val="231F20"/>
        </w:rPr>
        <w:t>Other (income) expense, net</w:t>
      </w:r>
    </w:p>
    <w:p>
      <w:pPr>
        <w:spacing w:after="0" w:line="64" w:lineRule="exact"/>
        <w:rPr>
          <w:sz w:val="20"/>
          <w:szCs w:val="20"/>
          <w:color w:val="auto"/>
        </w:rPr>
      </w:pPr>
    </w:p>
    <w:p>
      <w:pPr>
        <w:ind w:left="460"/>
        <w:spacing w:after="0"/>
        <w:rPr>
          <w:sz w:val="20"/>
          <w:szCs w:val="20"/>
          <w:color w:val="auto"/>
        </w:rPr>
      </w:pPr>
      <w:r>
        <w:rPr>
          <w:rFonts w:ascii="Calibri" w:cs="Calibri" w:eastAsia="Calibri" w:hAnsi="Calibri"/>
          <w:sz w:val="18"/>
          <w:szCs w:val="18"/>
          <w:color w:val="231F20"/>
        </w:rPr>
        <w:t>Change in fair value of warrant liabilites</w:t>
      </w:r>
    </w:p>
    <w:p>
      <w:pPr>
        <w:spacing w:after="0" w:line="64" w:lineRule="exact"/>
        <w:rPr>
          <w:sz w:val="20"/>
          <w:szCs w:val="20"/>
          <w:color w:val="auto"/>
        </w:rPr>
      </w:pPr>
    </w:p>
    <w:p>
      <w:pPr>
        <w:jc w:val="right"/>
        <w:ind w:right="320"/>
        <w:spacing w:after="0"/>
        <w:rPr>
          <w:sz w:val="20"/>
          <w:szCs w:val="20"/>
          <w:color w:val="auto"/>
        </w:rPr>
      </w:pPr>
      <w:r>
        <w:rPr>
          <w:rFonts w:ascii="Calibri" w:cs="Calibri" w:eastAsia="Calibri" w:hAnsi="Calibri"/>
          <w:sz w:val="18"/>
          <w:szCs w:val="18"/>
          <w:color w:val="231F20"/>
        </w:rPr>
        <w:t>Foreign currency transacton loss (gain), net</w:t>
      </w:r>
    </w:p>
    <w:p>
      <w:pPr>
        <w:spacing w:after="0" w:line="7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231F20"/>
        </w:rPr>
        <w:t>Loss before provision for income taxes</w:t>
      </w:r>
    </w:p>
    <w:p>
      <w:pPr>
        <w:spacing w:after="0" w:line="64" w:lineRule="exact"/>
        <w:rPr>
          <w:sz w:val="20"/>
          <w:szCs w:val="20"/>
          <w:color w:val="auto"/>
        </w:rPr>
      </w:pPr>
    </w:p>
    <w:p>
      <w:pPr>
        <w:ind w:left="460"/>
        <w:spacing w:after="0"/>
        <w:rPr>
          <w:sz w:val="20"/>
          <w:szCs w:val="20"/>
          <w:color w:val="auto"/>
        </w:rPr>
      </w:pPr>
      <w:r>
        <w:rPr>
          <w:rFonts w:ascii="Calibri" w:cs="Calibri" w:eastAsia="Calibri" w:hAnsi="Calibri"/>
          <w:sz w:val="18"/>
          <w:szCs w:val="18"/>
          <w:color w:val="231F20"/>
        </w:rPr>
        <w:t>Income tax (beneft) expense</w:t>
      </w:r>
    </w:p>
    <w:p>
      <w:pPr>
        <w:spacing w:after="0" w:line="77" w:lineRule="exact"/>
        <w:rPr>
          <w:sz w:val="20"/>
          <w:szCs w:val="20"/>
          <w:color w:val="auto"/>
        </w:rPr>
      </w:pPr>
    </w:p>
    <w:p>
      <w:pPr>
        <w:ind w:left="20"/>
        <w:spacing w:after="0"/>
        <w:rPr>
          <w:sz w:val="20"/>
          <w:szCs w:val="20"/>
          <w:color w:val="auto"/>
        </w:rPr>
      </w:pPr>
      <w:r>
        <w:rPr>
          <w:rFonts w:ascii="Calibri" w:cs="Calibri" w:eastAsia="Calibri" w:hAnsi="Calibri"/>
          <w:sz w:val="18"/>
          <w:szCs w:val="18"/>
          <w:color w:val="231F20"/>
        </w:rPr>
        <w:t>Net loss</w:t>
      </w:r>
    </w:p>
    <w:p>
      <w:pPr>
        <w:spacing w:after="0" w:line="50"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231F20"/>
        </w:rPr>
        <w:t>Comprehensive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jc w:val="right"/>
              <w:spacing w:after="0"/>
              <w:rPr>
                <w:sz w:val="20"/>
                <w:szCs w:val="20"/>
                <w:color w:val="auto"/>
              </w:rPr>
            </w:pPr>
            <w:r>
              <w:rPr>
                <w:rFonts w:ascii="Calibri" w:cs="Calibri" w:eastAsia="Calibri" w:hAnsi="Calibri"/>
                <w:sz w:val="18"/>
                <w:szCs w:val="18"/>
                <w:color w:val="231F20"/>
              </w:rPr>
              <w:t>2.5</w:t>
            </w:r>
          </w:p>
        </w:tc>
        <w:tc>
          <w:tcPr>
            <w:tcW w:w="100" w:type="dxa"/>
            <w:vAlign w:val="bottom"/>
          </w:tcPr>
          <w:p>
            <w:pPr>
              <w:spacing w:after="0"/>
              <w:rPr>
                <w:sz w:val="19"/>
                <w:szCs w:val="19"/>
                <w:color w:val="auto"/>
              </w:rPr>
            </w:pPr>
          </w:p>
        </w:tc>
        <w:tc>
          <w:tcPr>
            <w:tcW w:w="1540" w:type="dxa"/>
            <w:vAlign w:val="bottom"/>
          </w:tcPr>
          <w:p>
            <w:pPr>
              <w:jc w:val="center"/>
              <w:ind w:left="1110"/>
              <w:spacing w:after="0"/>
              <w:rPr>
                <w:sz w:val="20"/>
                <w:szCs w:val="20"/>
                <w:color w:val="auto"/>
              </w:rPr>
            </w:pPr>
            <w:r>
              <w:rPr>
                <w:rFonts w:ascii="Calibri" w:cs="Calibri" w:eastAsia="Calibri" w:hAnsi="Calibri"/>
                <w:sz w:val="18"/>
                <w:szCs w:val="18"/>
                <w:color w:val="231F20"/>
                <w:w w:val="96"/>
              </w:rPr>
              <w:t>3.4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10.4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13.6</w:t>
            </w:r>
          </w:p>
        </w:tc>
      </w:tr>
      <w:tr>
        <w:trPr>
          <w:trHeight w:val="283"/>
        </w:trPr>
        <w:tc>
          <w:tcPr>
            <w:tcW w:w="1540" w:type="dxa"/>
            <w:vAlign w:val="bottom"/>
          </w:tcPr>
          <w:p>
            <w:pPr>
              <w:jc w:val="right"/>
              <w:spacing w:after="0"/>
              <w:rPr>
                <w:sz w:val="20"/>
                <w:szCs w:val="20"/>
                <w:color w:val="auto"/>
              </w:rPr>
            </w:pPr>
            <w:r>
              <w:rPr>
                <w:rFonts w:ascii="Calibri" w:cs="Calibri" w:eastAsia="Calibri" w:hAnsi="Calibri"/>
                <w:sz w:val="18"/>
                <w:szCs w:val="18"/>
                <w:color w:val="231F20"/>
              </w:rPr>
              <w:t>(2.2)</w:t>
            </w:r>
          </w:p>
        </w:tc>
        <w:tc>
          <w:tcPr>
            <w:tcW w:w="100" w:type="dxa"/>
            <w:vAlign w:val="bottom"/>
          </w:tcPr>
          <w:p>
            <w:pPr>
              <w:spacing w:after="0"/>
              <w:rPr>
                <w:sz w:val="24"/>
                <w:szCs w:val="24"/>
                <w:color w:val="auto"/>
              </w:rPr>
            </w:pPr>
          </w:p>
        </w:tc>
        <w:tc>
          <w:tcPr>
            <w:tcW w:w="1540" w:type="dxa"/>
            <w:vAlign w:val="bottom"/>
          </w:tcPr>
          <w:p>
            <w:pPr>
              <w:jc w:val="center"/>
              <w:ind w:left="1070"/>
              <w:spacing w:after="0"/>
              <w:rPr>
                <w:sz w:val="20"/>
                <w:szCs w:val="20"/>
                <w:color w:val="auto"/>
              </w:rPr>
            </w:pPr>
            <w:r>
              <w:rPr>
                <w:rFonts w:ascii="Calibri" w:cs="Calibri" w:eastAsia="Calibri" w:hAnsi="Calibri"/>
                <w:sz w:val="18"/>
                <w:szCs w:val="18"/>
                <w:color w:val="231F20"/>
              </w:rPr>
              <w:t>(6.4)</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(16.6)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(23.2)</w:t>
            </w:r>
          </w:p>
        </w:tc>
      </w:tr>
      <w:tr>
        <w:trPr>
          <w:trHeight w:val="283"/>
        </w:trPr>
        <w:tc>
          <w:tcPr>
            <w:tcW w:w="1540" w:type="dxa"/>
            <w:vAlign w:val="bottom"/>
          </w:tcPr>
          <w:p>
            <w:pPr>
              <w:jc w:val="right"/>
              <w:spacing w:after="0"/>
              <w:rPr>
                <w:sz w:val="20"/>
                <w:szCs w:val="20"/>
                <w:color w:val="auto"/>
              </w:rPr>
            </w:pPr>
            <w:r>
              <w:rPr>
                <w:rFonts w:ascii="Calibri" w:cs="Calibri" w:eastAsia="Calibri" w:hAnsi="Calibri"/>
                <w:sz w:val="18"/>
                <w:szCs w:val="18"/>
                <w:color w:val="231F20"/>
              </w:rPr>
              <w:t>(0.1)</w:t>
            </w:r>
          </w:p>
        </w:tc>
        <w:tc>
          <w:tcPr>
            <w:tcW w:w="100" w:type="dxa"/>
            <w:vAlign w:val="bottom"/>
          </w:tcPr>
          <w:p>
            <w:pPr>
              <w:spacing w:after="0"/>
              <w:rPr>
                <w:sz w:val="24"/>
                <w:szCs w:val="24"/>
                <w:color w:val="auto"/>
              </w:rPr>
            </w:pPr>
          </w:p>
        </w:tc>
        <w:tc>
          <w:tcPr>
            <w:tcW w:w="1540" w:type="dxa"/>
            <w:vAlign w:val="bottom"/>
          </w:tcPr>
          <w:p>
            <w:pPr>
              <w:jc w:val="center"/>
              <w:ind w:left="1110"/>
              <w:spacing w:after="0"/>
              <w:rPr>
                <w:sz w:val="20"/>
                <w:szCs w:val="20"/>
                <w:color w:val="auto"/>
              </w:rPr>
            </w:pPr>
            <w:r>
              <w:rPr>
                <w:rFonts w:ascii="Calibri" w:cs="Calibri" w:eastAsia="Calibri" w:hAnsi="Calibri"/>
                <w:sz w:val="18"/>
                <w:szCs w:val="18"/>
                <w:color w:val="231F20"/>
                <w:w w:val="96"/>
              </w:rPr>
              <w:t>0.1</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(33.6)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(5.2)</w:t>
            </w:r>
          </w:p>
        </w:tc>
      </w:tr>
      <w:tr>
        <w:trPr>
          <w:trHeight w:val="283"/>
        </w:trPr>
        <w:tc>
          <w:tcPr>
            <w:tcW w:w="1540" w:type="dxa"/>
            <w:vAlign w:val="bottom"/>
          </w:tcPr>
          <w:p>
            <w:pPr>
              <w:jc w:val="right"/>
              <w:spacing w:after="0"/>
              <w:rPr>
                <w:sz w:val="20"/>
                <w:szCs w:val="20"/>
                <w:color w:val="auto"/>
              </w:rPr>
            </w:pPr>
            <w:r>
              <w:rPr>
                <w:rFonts w:ascii="Calibri" w:cs="Calibri" w:eastAsia="Calibri" w:hAnsi="Calibri"/>
                <w:sz w:val="18"/>
                <w:szCs w:val="18"/>
                <w:color w:val="231F20"/>
              </w:rPr>
              <w:t>(0.1)</w:t>
            </w:r>
          </w:p>
        </w:tc>
        <w:tc>
          <w:tcPr>
            <w:tcW w:w="100" w:type="dxa"/>
            <w:vAlign w:val="bottom"/>
          </w:tcPr>
          <w:p>
            <w:pPr>
              <w:spacing w:after="0"/>
              <w:rPr>
                <w:sz w:val="24"/>
                <w:szCs w:val="24"/>
                <w:color w:val="auto"/>
              </w:rPr>
            </w:pPr>
          </w:p>
        </w:tc>
        <w:tc>
          <w:tcPr>
            <w:tcW w:w="1540" w:type="dxa"/>
            <w:vAlign w:val="bottom"/>
          </w:tcPr>
          <w:p>
            <w:pPr>
              <w:jc w:val="center"/>
              <w:ind w:left="1070"/>
              <w:spacing w:after="0"/>
              <w:rPr>
                <w:sz w:val="20"/>
                <w:szCs w:val="20"/>
                <w:color w:val="auto"/>
              </w:rPr>
            </w:pPr>
            <w:r>
              <w:rPr>
                <w:rFonts w:ascii="Calibri" w:cs="Calibri" w:eastAsia="Calibri" w:hAnsi="Calibri"/>
                <w:sz w:val="18"/>
                <w:szCs w:val="18"/>
                <w:color w:val="231F20"/>
              </w:rPr>
              <w:t>(3.6)</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(3.1)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(11.9)</w:t>
            </w:r>
          </w:p>
        </w:tc>
      </w:tr>
      <w:tr>
        <w:trPr>
          <w:trHeight w:val="284"/>
        </w:trPr>
        <w:tc>
          <w:tcPr>
            <w:tcW w:w="1540" w:type="dxa"/>
            <w:vAlign w:val="bottom"/>
          </w:tcPr>
          <w:p>
            <w:pPr>
              <w:jc w:val="right"/>
              <w:spacing w:after="0"/>
              <w:rPr>
                <w:sz w:val="20"/>
                <w:szCs w:val="20"/>
                <w:color w:val="auto"/>
              </w:rPr>
            </w:pPr>
            <w:r>
              <w:rPr>
                <w:rFonts w:ascii="Calibri" w:cs="Calibri" w:eastAsia="Calibri" w:hAnsi="Calibri"/>
                <w:sz w:val="18"/>
                <w:szCs w:val="18"/>
                <w:color w:val="231F20"/>
              </w:rPr>
              <w:t>4.5</w:t>
            </w:r>
          </w:p>
        </w:tc>
        <w:tc>
          <w:tcPr>
            <w:tcW w:w="100" w:type="dxa"/>
            <w:vAlign w:val="bottom"/>
          </w:tcPr>
          <w:p>
            <w:pPr>
              <w:spacing w:after="0"/>
              <w:rPr>
                <w:sz w:val="24"/>
                <w:szCs w:val="24"/>
                <w:color w:val="auto"/>
              </w:rPr>
            </w:pPr>
          </w:p>
        </w:tc>
        <w:tc>
          <w:tcPr>
            <w:tcW w:w="1540" w:type="dxa"/>
            <w:vAlign w:val="bottom"/>
          </w:tcPr>
          <w:p>
            <w:pPr>
              <w:jc w:val="center"/>
              <w:ind w:left="1070"/>
              <w:spacing w:after="0"/>
              <w:rPr>
                <w:sz w:val="20"/>
                <w:szCs w:val="20"/>
                <w:color w:val="auto"/>
              </w:rPr>
            </w:pPr>
            <w:r>
              <w:rPr>
                <w:rFonts w:ascii="Calibri" w:cs="Calibri" w:eastAsia="Calibri" w:hAnsi="Calibri"/>
                <w:sz w:val="18"/>
                <w:szCs w:val="18"/>
                <w:color w:val="231F20"/>
              </w:rPr>
              <w:t>(3.1)</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4.6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(2.4)</w:t>
            </w:r>
          </w:p>
        </w:tc>
      </w:tr>
      <w:tr>
        <w:trPr>
          <w:trHeight w:val="64"/>
        </w:trPr>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13"/>
        </w:trPr>
        <w:tc>
          <w:tcPr>
            <w:tcW w:w="1540" w:type="dxa"/>
            <w:vAlign w:val="bottom"/>
          </w:tcPr>
          <w:p>
            <w:pPr>
              <w:jc w:val="right"/>
              <w:spacing w:after="0" w:line="213" w:lineRule="exact"/>
              <w:rPr>
                <w:sz w:val="20"/>
                <w:szCs w:val="20"/>
                <w:color w:val="auto"/>
              </w:rPr>
            </w:pPr>
            <w:r>
              <w:rPr>
                <w:rFonts w:ascii="Calibri" w:cs="Calibri" w:eastAsia="Calibri" w:hAnsi="Calibri"/>
                <w:sz w:val="18"/>
                <w:szCs w:val="18"/>
                <w:color w:val="231F20"/>
              </w:rPr>
              <w:t>(11.7)</w:t>
            </w:r>
          </w:p>
        </w:tc>
        <w:tc>
          <w:tcPr>
            <w:tcW w:w="100" w:type="dxa"/>
            <w:vAlign w:val="bottom"/>
          </w:tcPr>
          <w:p>
            <w:pPr>
              <w:spacing w:after="0"/>
              <w:rPr>
                <w:sz w:val="18"/>
                <w:szCs w:val="18"/>
                <w:color w:val="auto"/>
              </w:rPr>
            </w:pPr>
          </w:p>
        </w:tc>
        <w:tc>
          <w:tcPr>
            <w:tcW w:w="1540" w:type="dxa"/>
            <w:vAlign w:val="bottom"/>
          </w:tcPr>
          <w:p>
            <w:pPr>
              <w:jc w:val="center"/>
              <w:ind w:left="1070"/>
              <w:spacing w:after="0" w:line="213" w:lineRule="exact"/>
              <w:rPr>
                <w:sz w:val="20"/>
                <w:szCs w:val="20"/>
                <w:color w:val="auto"/>
              </w:rPr>
            </w:pPr>
            <w:r>
              <w:rPr>
                <w:rFonts w:ascii="Calibri" w:cs="Calibri" w:eastAsia="Calibri" w:hAnsi="Calibri"/>
                <w:sz w:val="18"/>
                <w:szCs w:val="18"/>
                <w:color w:val="231F20"/>
              </w:rPr>
              <w:t>(8.8)</w:t>
            </w:r>
          </w:p>
        </w:tc>
        <w:tc>
          <w:tcPr>
            <w:tcW w:w="100" w:type="dxa"/>
            <w:vAlign w:val="bottom"/>
          </w:tcPr>
          <w:p>
            <w:pPr>
              <w:spacing w:after="0"/>
              <w:rPr>
                <w:sz w:val="18"/>
                <w:szCs w:val="18"/>
                <w:color w:val="auto"/>
              </w:rPr>
            </w:pPr>
          </w:p>
        </w:tc>
        <w:tc>
          <w:tcPr>
            <w:tcW w:w="1720" w:type="dxa"/>
            <w:vAlign w:val="bottom"/>
          </w:tcPr>
          <w:p>
            <w:pPr>
              <w:jc w:val="right"/>
              <w:spacing w:after="0" w:line="213" w:lineRule="exact"/>
              <w:rPr>
                <w:sz w:val="20"/>
                <w:szCs w:val="20"/>
                <w:color w:val="auto"/>
              </w:rPr>
            </w:pPr>
            <w:r>
              <w:rPr>
                <w:rFonts w:ascii="Calibri" w:cs="Calibri" w:eastAsia="Calibri" w:hAnsi="Calibri"/>
                <w:sz w:val="18"/>
                <w:szCs w:val="18"/>
                <w:color w:val="231F20"/>
              </w:rPr>
              <w:t>(29.6)</w:t>
            </w:r>
          </w:p>
        </w:tc>
        <w:tc>
          <w:tcPr>
            <w:tcW w:w="80" w:type="dxa"/>
            <w:vAlign w:val="bottom"/>
          </w:tcPr>
          <w:p>
            <w:pPr>
              <w:spacing w:after="0"/>
              <w:rPr>
                <w:sz w:val="18"/>
                <w:szCs w:val="18"/>
                <w:color w:val="auto"/>
              </w:rPr>
            </w:pPr>
          </w:p>
        </w:tc>
        <w:tc>
          <w:tcPr>
            <w:tcW w:w="1560" w:type="dxa"/>
            <w:vAlign w:val="bottom"/>
          </w:tcPr>
          <w:p>
            <w:pPr>
              <w:jc w:val="right"/>
              <w:spacing w:after="0" w:line="213" w:lineRule="exact"/>
              <w:rPr>
                <w:sz w:val="20"/>
                <w:szCs w:val="20"/>
                <w:color w:val="auto"/>
              </w:rPr>
            </w:pPr>
            <w:r>
              <w:rPr>
                <w:rFonts w:ascii="Calibri" w:cs="Calibri" w:eastAsia="Calibri" w:hAnsi="Calibri"/>
                <w:sz w:val="18"/>
                <w:szCs w:val="18"/>
                <w:color w:val="231F20"/>
              </w:rPr>
              <w:t>(101.9)</w:t>
            </w:r>
          </w:p>
        </w:tc>
      </w:tr>
      <w:tr>
        <w:trPr>
          <w:trHeight w:val="284"/>
        </w:trPr>
        <w:tc>
          <w:tcPr>
            <w:tcW w:w="1540" w:type="dxa"/>
            <w:vAlign w:val="bottom"/>
          </w:tcPr>
          <w:p>
            <w:pPr>
              <w:jc w:val="right"/>
              <w:spacing w:after="0"/>
              <w:rPr>
                <w:sz w:val="20"/>
                <w:szCs w:val="20"/>
                <w:color w:val="auto"/>
              </w:rPr>
            </w:pPr>
            <w:r>
              <w:rPr>
                <w:rFonts w:ascii="Calibri" w:cs="Calibri" w:eastAsia="Calibri" w:hAnsi="Calibri"/>
                <w:sz w:val="18"/>
                <w:szCs w:val="18"/>
                <w:color w:val="231F20"/>
              </w:rPr>
              <w:t>(1.4)</w:t>
            </w:r>
          </w:p>
        </w:tc>
        <w:tc>
          <w:tcPr>
            <w:tcW w:w="100" w:type="dxa"/>
            <w:vAlign w:val="bottom"/>
          </w:tcPr>
          <w:p>
            <w:pPr>
              <w:spacing w:after="0"/>
              <w:rPr>
                <w:sz w:val="24"/>
                <w:szCs w:val="24"/>
                <w:color w:val="auto"/>
              </w:rPr>
            </w:pPr>
          </w:p>
        </w:tc>
        <w:tc>
          <w:tcPr>
            <w:tcW w:w="1540" w:type="dxa"/>
            <w:vAlign w:val="bottom"/>
          </w:tcPr>
          <w:p>
            <w:pPr>
              <w:jc w:val="center"/>
              <w:ind w:left="1110"/>
              <w:spacing w:after="0"/>
              <w:rPr>
                <w:sz w:val="20"/>
                <w:szCs w:val="20"/>
                <w:color w:val="auto"/>
              </w:rPr>
            </w:pPr>
            <w:r>
              <w:rPr>
                <w:rFonts w:ascii="Calibri" w:cs="Calibri" w:eastAsia="Calibri" w:hAnsi="Calibri"/>
                <w:sz w:val="18"/>
                <w:szCs w:val="18"/>
                <w:color w:val="231F20"/>
                <w:w w:val="96"/>
              </w:rPr>
              <w:t>0.6</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alibri" w:cs="Calibri" w:eastAsia="Calibri" w:hAnsi="Calibri"/>
                <w:sz w:val="18"/>
                <w:szCs w:val="18"/>
                <w:color w:val="231F20"/>
              </w:rPr>
              <w:t>(0.5)</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color w:val="231F20"/>
              </w:rPr>
              <w:t>(1.8)</w:t>
            </w:r>
          </w:p>
        </w:tc>
      </w:tr>
      <w:tr>
        <w:trPr>
          <w:trHeight w:val="64"/>
        </w:trPr>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13"/>
        </w:trPr>
        <w:tc>
          <w:tcPr>
            <w:tcW w:w="1540" w:type="dxa"/>
            <w:vAlign w:val="bottom"/>
          </w:tcPr>
          <w:p>
            <w:pPr>
              <w:jc w:val="right"/>
              <w:spacing w:after="0" w:line="213" w:lineRule="exact"/>
              <w:rPr>
                <w:sz w:val="20"/>
                <w:szCs w:val="20"/>
                <w:color w:val="auto"/>
              </w:rPr>
            </w:pPr>
            <w:r>
              <w:rPr>
                <w:rFonts w:ascii="Calibri" w:cs="Calibri" w:eastAsia="Calibri" w:hAnsi="Calibri"/>
                <w:sz w:val="18"/>
                <w:szCs w:val="18"/>
                <w:color w:val="231F20"/>
              </w:rPr>
              <w:t>(10.3)</w:t>
            </w:r>
          </w:p>
        </w:tc>
        <w:tc>
          <w:tcPr>
            <w:tcW w:w="100" w:type="dxa"/>
            <w:vAlign w:val="bottom"/>
          </w:tcPr>
          <w:p>
            <w:pPr>
              <w:spacing w:after="0"/>
              <w:rPr>
                <w:sz w:val="18"/>
                <w:szCs w:val="18"/>
                <w:color w:val="auto"/>
              </w:rPr>
            </w:pPr>
          </w:p>
        </w:tc>
        <w:tc>
          <w:tcPr>
            <w:tcW w:w="1540" w:type="dxa"/>
            <w:vAlign w:val="bottom"/>
          </w:tcPr>
          <w:p>
            <w:pPr>
              <w:jc w:val="center"/>
              <w:ind w:left="1070"/>
              <w:spacing w:after="0" w:line="213" w:lineRule="exact"/>
              <w:rPr>
                <w:sz w:val="20"/>
                <w:szCs w:val="20"/>
                <w:color w:val="auto"/>
              </w:rPr>
            </w:pPr>
            <w:r>
              <w:rPr>
                <w:rFonts w:ascii="Calibri" w:cs="Calibri" w:eastAsia="Calibri" w:hAnsi="Calibri"/>
                <w:sz w:val="18"/>
                <w:szCs w:val="18"/>
                <w:color w:val="231F20"/>
              </w:rPr>
              <w:t>(9.4)</w:t>
            </w:r>
          </w:p>
        </w:tc>
        <w:tc>
          <w:tcPr>
            <w:tcW w:w="100" w:type="dxa"/>
            <w:vAlign w:val="bottom"/>
          </w:tcPr>
          <w:p>
            <w:pPr>
              <w:spacing w:after="0"/>
              <w:rPr>
                <w:sz w:val="18"/>
                <w:szCs w:val="18"/>
                <w:color w:val="auto"/>
              </w:rPr>
            </w:pPr>
          </w:p>
        </w:tc>
        <w:tc>
          <w:tcPr>
            <w:tcW w:w="1720" w:type="dxa"/>
            <w:vAlign w:val="bottom"/>
          </w:tcPr>
          <w:p>
            <w:pPr>
              <w:jc w:val="right"/>
              <w:spacing w:after="0" w:line="213" w:lineRule="exact"/>
              <w:rPr>
                <w:sz w:val="20"/>
                <w:szCs w:val="20"/>
                <w:color w:val="auto"/>
              </w:rPr>
            </w:pPr>
            <w:r>
              <w:rPr>
                <w:rFonts w:ascii="Calibri" w:cs="Calibri" w:eastAsia="Calibri" w:hAnsi="Calibri"/>
                <w:sz w:val="18"/>
                <w:szCs w:val="18"/>
                <w:color w:val="231F20"/>
              </w:rPr>
              <w:t>(29.1)</w:t>
            </w:r>
          </w:p>
        </w:tc>
        <w:tc>
          <w:tcPr>
            <w:tcW w:w="80" w:type="dxa"/>
            <w:vAlign w:val="bottom"/>
          </w:tcPr>
          <w:p>
            <w:pPr>
              <w:spacing w:after="0"/>
              <w:rPr>
                <w:sz w:val="18"/>
                <w:szCs w:val="18"/>
                <w:color w:val="auto"/>
              </w:rPr>
            </w:pPr>
          </w:p>
        </w:tc>
        <w:tc>
          <w:tcPr>
            <w:tcW w:w="1560" w:type="dxa"/>
            <w:vAlign w:val="bottom"/>
          </w:tcPr>
          <w:p>
            <w:pPr>
              <w:jc w:val="right"/>
              <w:spacing w:after="0" w:line="213" w:lineRule="exact"/>
              <w:rPr>
                <w:sz w:val="20"/>
                <w:szCs w:val="20"/>
                <w:color w:val="auto"/>
              </w:rPr>
            </w:pPr>
            <w:r>
              <w:rPr>
                <w:rFonts w:ascii="Calibri" w:cs="Calibri" w:eastAsia="Calibri" w:hAnsi="Calibri"/>
                <w:sz w:val="18"/>
                <w:szCs w:val="18"/>
                <w:color w:val="231F20"/>
              </w:rPr>
              <w:t>(100.1)</w:t>
            </w:r>
          </w:p>
        </w:tc>
      </w:tr>
      <w:tr>
        <w:trPr>
          <w:trHeight w:val="64"/>
        </w:trPr>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-1285240</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-925195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-565150</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-196215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3880" w:space="720"/>
            <w:col w:w="6640"/>
          </w:cols>
          <w:pgMar w:left="320" w:top="1084"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6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231F20"/>
              </w:rPr>
              <w:t>Foreign currency translaton adjustments</w:t>
            </w: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2.1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(3.9)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1.5</w:t>
            </w:r>
          </w:p>
        </w:tc>
      </w:tr>
      <w:tr>
        <w:trPr>
          <w:trHeight w:val="254"/>
        </w:trPr>
        <w:tc>
          <w:tcPr>
            <w:tcW w:w="4600" w:type="dxa"/>
            <w:vAlign w:val="bottom"/>
          </w:tcPr>
          <w:p>
            <w:pPr>
              <w:ind w:left="20"/>
              <w:spacing w:after="0"/>
              <w:rPr>
                <w:sz w:val="20"/>
                <w:szCs w:val="20"/>
                <w:color w:val="auto"/>
              </w:rPr>
            </w:pPr>
            <w:r>
              <w:rPr>
                <w:rFonts w:ascii="Calibri" w:cs="Calibri" w:eastAsia="Calibri" w:hAnsi="Calibri"/>
                <w:sz w:val="18"/>
                <w:szCs w:val="18"/>
                <w:b w:val="1"/>
                <w:bCs w:val="1"/>
                <w:color w:val="231F20"/>
              </w:rPr>
              <w:t>Comprehensive loss</w:t>
            </w:r>
          </w:p>
        </w:tc>
        <w:tc>
          <w:tcPr>
            <w:tcW w:w="340" w:type="dxa"/>
            <w:vAlign w:val="bottom"/>
            <w:tcBorders>
              <w:top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231F20"/>
                <w:w w:val="87"/>
              </w:rPr>
              <w:t>$</w:t>
            </w:r>
          </w:p>
        </w:tc>
        <w:tc>
          <w:tcPr>
            <w:tcW w:w="12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231F20"/>
              </w:rPr>
              <w:t>(13.6)</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231F20"/>
                <w:w w:val="87"/>
              </w:rPr>
              <w:t>$</w:t>
            </w:r>
          </w:p>
        </w:tc>
        <w:tc>
          <w:tcPr>
            <w:tcW w:w="12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231F20"/>
              </w:rPr>
              <w:t>(7.3)</w:t>
            </w:r>
          </w:p>
        </w:tc>
        <w:tc>
          <w:tcPr>
            <w:tcW w:w="100" w:type="dxa"/>
            <w:vAlign w:val="bottom"/>
          </w:tcPr>
          <w:p>
            <w:pPr>
              <w:spacing w:after="0"/>
              <w:rPr>
                <w:sz w:val="22"/>
                <w:szCs w:val="22"/>
                <w:color w:val="auto"/>
              </w:rPr>
            </w:pPr>
          </w:p>
        </w:tc>
        <w:tc>
          <w:tcPr>
            <w:tcW w:w="440" w:type="dxa"/>
            <w:vAlign w:val="bottom"/>
            <w:tcBorders>
              <w:top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231F20"/>
                <w:w w:val="87"/>
              </w:rPr>
              <w:t>$</w:t>
            </w:r>
          </w:p>
        </w:tc>
        <w:tc>
          <w:tcPr>
            <w:tcW w:w="12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231F20"/>
              </w:rPr>
              <w:t>(33.0)</w:t>
            </w:r>
          </w:p>
        </w:tc>
        <w:tc>
          <w:tcPr>
            <w:tcW w:w="8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231F20"/>
              </w:rPr>
              <w:t>$</w:t>
            </w:r>
          </w:p>
        </w:tc>
        <w:tc>
          <w:tcPr>
            <w:tcW w:w="12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231F20"/>
              </w:rPr>
              <w:t>(98.6)</w:t>
            </w:r>
          </w:p>
        </w:tc>
      </w:tr>
      <w:tr>
        <w:trPr>
          <w:trHeight w:val="23"/>
        </w:trPr>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460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8"/>
                <w:szCs w:val="18"/>
                <w:color w:val="231F20"/>
              </w:rPr>
              <w:t>Net 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33"/>
        </w:trPr>
        <w:tc>
          <w:tcPr>
            <w:tcW w:w="4600" w:type="dxa"/>
            <w:vAlign w:val="bottom"/>
          </w:tcPr>
          <w:p>
            <w:pPr>
              <w:ind w:left="460"/>
              <w:spacing w:after="0"/>
              <w:rPr>
                <w:sz w:val="20"/>
                <w:szCs w:val="20"/>
                <w:color w:val="auto"/>
              </w:rPr>
            </w:pPr>
            <w:r>
              <w:rPr>
                <w:rFonts w:ascii="Calibri" w:cs="Calibri" w:eastAsia="Calibri" w:hAnsi="Calibri"/>
                <w:sz w:val="18"/>
                <w:szCs w:val="18"/>
                <w:color w:val="231F20"/>
              </w:rPr>
              <w:t>Basic</w:t>
            </w:r>
          </w:p>
        </w:tc>
        <w:tc>
          <w:tcPr>
            <w:tcW w:w="340" w:type="dxa"/>
            <w:vAlign w:val="bottom"/>
          </w:tcPr>
          <w:p>
            <w:pPr>
              <w:jc w:val="right"/>
              <w:ind w:right="150"/>
              <w:spacing w:after="0"/>
              <w:rPr>
                <w:sz w:val="20"/>
                <w:szCs w:val="20"/>
                <w:color w:val="auto"/>
              </w:rPr>
            </w:pPr>
            <w:r>
              <w:rPr>
                <w:rFonts w:ascii="Calibri" w:cs="Calibri" w:eastAsia="Calibri" w:hAnsi="Calibri"/>
                <w:sz w:val="18"/>
                <w:szCs w:val="18"/>
                <w:color w:val="231F20"/>
                <w:w w:val="87"/>
              </w:rPr>
              <w:t>$</w:t>
            </w: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(0.08)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Calibri" w:cs="Calibri" w:eastAsia="Calibri" w:hAnsi="Calibri"/>
                <w:sz w:val="18"/>
                <w:szCs w:val="18"/>
                <w:color w:val="231F20"/>
                <w:w w:val="87"/>
              </w:rPr>
              <w:t>$</w:t>
            </w: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(0.07)</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231F20"/>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231F20"/>
              </w:rPr>
              <w:t>(0.23)</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231F20"/>
              </w:rPr>
              <w:t>$</w:t>
            </w: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(0.76)</w:t>
            </w:r>
          </w:p>
        </w:tc>
      </w:tr>
      <w:tr>
        <w:trPr>
          <w:trHeight w:val="50"/>
        </w:trPr>
        <w:tc>
          <w:tcPr>
            <w:tcW w:w="4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63"/>
        </w:trPr>
        <w:tc>
          <w:tcPr>
            <w:tcW w:w="460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231F20"/>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Calibri" w:cs="Calibri" w:eastAsia="Calibri" w:hAnsi="Calibri"/>
                <w:sz w:val="18"/>
                <w:szCs w:val="18"/>
                <w:color w:val="231F20"/>
                <w:w w:val="87"/>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(0.36)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Calibri" w:cs="Calibri" w:eastAsia="Calibri" w:hAnsi="Calibri"/>
                <w:sz w:val="18"/>
                <w:szCs w:val="18"/>
                <w:color w:val="231F20"/>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(0.76)</w:t>
            </w:r>
          </w:p>
        </w:tc>
      </w:tr>
      <w:tr>
        <w:trPr>
          <w:trHeight w:val="215"/>
        </w:trPr>
        <w:tc>
          <w:tcPr>
            <w:tcW w:w="4600" w:type="dxa"/>
            <w:vAlign w:val="bottom"/>
          </w:tcPr>
          <w:p>
            <w:pPr>
              <w:ind w:left="20"/>
              <w:spacing w:after="0" w:line="215" w:lineRule="exact"/>
              <w:rPr>
                <w:sz w:val="20"/>
                <w:szCs w:val="20"/>
                <w:color w:val="auto"/>
              </w:rPr>
            </w:pPr>
            <w:r>
              <w:rPr>
                <w:rFonts w:ascii="Calibri" w:cs="Calibri" w:eastAsia="Calibri" w:hAnsi="Calibri"/>
                <w:sz w:val="18"/>
                <w:szCs w:val="18"/>
                <w:color w:val="231F20"/>
              </w:rPr>
              <w:t>Weighted average common shares outstanding</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2"/>
        </w:trPr>
        <w:tc>
          <w:tcPr>
            <w:tcW w:w="4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231F20"/>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124,401,969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128,716,355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123,827,372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231F20"/>
              </w:rPr>
              <w:t>131,680,605</w:t>
            </w:r>
          </w:p>
        </w:tc>
      </w:tr>
      <w:tr>
        <w:trPr>
          <w:trHeight w:val="233"/>
        </w:trPr>
        <w:tc>
          <w:tcPr>
            <w:tcW w:w="4600" w:type="dxa"/>
            <w:vAlign w:val="bottom"/>
          </w:tcPr>
          <w:p>
            <w:pPr>
              <w:ind w:left="460"/>
              <w:spacing w:after="0"/>
              <w:rPr>
                <w:sz w:val="20"/>
                <w:szCs w:val="20"/>
                <w:color w:val="auto"/>
              </w:rPr>
            </w:pPr>
            <w:r>
              <w:rPr>
                <w:rFonts w:ascii="Calibri" w:cs="Calibri" w:eastAsia="Calibri" w:hAnsi="Calibri"/>
                <w:sz w:val="18"/>
                <w:szCs w:val="18"/>
                <w:color w:val="231F20"/>
              </w:rPr>
              <w:t>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124,401,969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128,716,355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231F20"/>
              </w:rPr>
              <w:t>142,492,575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231F20"/>
              </w:rPr>
              <w:t>131,680,605</w:t>
            </w: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6"/>
          <w:szCs w:val="16"/>
          <w:color w:val="auto"/>
        </w:rPr>
        <w:t>(1)</w:t>
        <w:tab/>
        <w:t>Amounts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084" w:right="339" w:bottom="1440" w:gutter="0" w:footer="0" w:header="0"/>
          <w:type w:val="continuous"/>
        </w:sectPr>
      </w:pPr>
    </w:p>
    <w:bookmarkStart w:id="8" w:name="page9"/>
    <w:bookmarkEnd w:id="8"/>
    <w:p>
      <w:pPr>
        <w:jc w:val="center"/>
        <w:ind w:right="-79"/>
        <w:spacing w:after="0"/>
        <w:rPr>
          <w:sz w:val="20"/>
          <w:szCs w:val="20"/>
          <w:color w:val="auto"/>
        </w:rPr>
      </w:pPr>
      <w:r>
        <w:rPr>
          <w:rFonts w:ascii="Calibri" w:cs="Calibri" w:eastAsia="Calibri" w:hAnsi="Calibri"/>
          <w:sz w:val="18"/>
          <w:szCs w:val="18"/>
          <w:b w:val="1"/>
          <w:bCs w:val="1"/>
          <w:color w:val="auto"/>
        </w:rPr>
        <w:t>The Beauty Health Company</w:t>
      </w:r>
    </w:p>
    <w:p>
      <w:pPr>
        <w:jc w:val="center"/>
        <w:ind w:right="-59"/>
        <w:spacing w:after="0" w:line="216" w:lineRule="auto"/>
        <w:rPr>
          <w:sz w:val="20"/>
          <w:szCs w:val="20"/>
          <w:color w:val="auto"/>
        </w:rPr>
      </w:pPr>
      <w:r>
        <w:rPr>
          <w:rFonts w:ascii="Calibri" w:cs="Calibri" w:eastAsia="Calibri" w:hAnsi="Calibri"/>
          <w:sz w:val="18"/>
          <w:szCs w:val="18"/>
          <w:b w:val="1"/>
          <w:bCs w:val="1"/>
          <w:color w:val="auto"/>
        </w:rPr>
        <w:t xml:space="preserve">Consolidated Balance Sheets </w:t>
      </w:r>
      <w:r>
        <w:rPr>
          <w:rFonts w:ascii="Calibri" w:cs="Calibri" w:eastAsia="Calibri" w:hAnsi="Calibri"/>
          <w:sz w:val="23"/>
          <w:szCs w:val="23"/>
          <w:b w:val="1"/>
          <w:bCs w:val="1"/>
          <w:color w:val="auto"/>
          <w:vertAlign w:val="superscript"/>
        </w:rPr>
        <w:t>(1)</w:t>
      </w:r>
    </w:p>
    <w:p>
      <w:pPr>
        <w:jc w:val="center"/>
        <w:ind w:right="-59"/>
        <w:spacing w:after="0" w:line="195" w:lineRule="auto"/>
        <w:rPr>
          <w:sz w:val="20"/>
          <w:szCs w:val="20"/>
          <w:color w:val="auto"/>
        </w:rPr>
      </w:pPr>
      <w:r>
        <w:rPr>
          <w:rFonts w:ascii="Calibri" w:cs="Calibri" w:eastAsia="Calibri" w:hAnsi="Calibri"/>
          <w:sz w:val="18"/>
          <w:szCs w:val="18"/>
          <w:b w:val="1"/>
          <w:bCs w:val="1"/>
          <w:color w:val="auto"/>
        </w:rPr>
        <w:t>($ in millions)</w:t>
      </w:r>
    </w:p>
    <w:p>
      <w:pPr>
        <w:spacing w:after="0" w:line="11"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(Unaudited)</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Calibri" w:cs="Calibri" w:eastAsia="Calibri" w:hAnsi="Calibri"/>
                <w:sz w:val="16"/>
                <w:szCs w:val="16"/>
                <w:b w:val="1"/>
                <w:bCs w:val="1"/>
                <w:color w:val="auto"/>
              </w:rPr>
              <w:t>December 31, 2024</w:t>
            </w:r>
          </w:p>
        </w:tc>
        <w:tc>
          <w:tcPr>
            <w:tcW w:w="220" w:type="dxa"/>
            <w:vAlign w:val="bottom"/>
          </w:tcPr>
          <w:p>
            <w:pPr>
              <w:spacing w:after="0"/>
              <w:rPr>
                <w:sz w:val="16"/>
                <w:szCs w:val="16"/>
                <w:color w:val="auto"/>
              </w:rPr>
            </w:pPr>
          </w:p>
        </w:tc>
        <w:tc>
          <w:tcPr>
            <w:tcW w:w="1800" w:type="dxa"/>
            <w:vAlign w:val="bottom"/>
          </w:tcPr>
          <w:p>
            <w:pPr>
              <w:jc w:val="right"/>
              <w:ind w:right="290"/>
              <w:spacing w:after="0"/>
              <w:rPr>
                <w:sz w:val="20"/>
                <w:szCs w:val="20"/>
                <w:color w:val="auto"/>
              </w:rPr>
            </w:pPr>
            <w:r>
              <w:rPr>
                <w:rFonts w:ascii="Calibri" w:cs="Calibri" w:eastAsia="Calibri" w:hAnsi="Calibri"/>
                <w:sz w:val="16"/>
                <w:szCs w:val="16"/>
                <w:b w:val="1"/>
                <w:bCs w:val="1"/>
                <w:color w:val="auto"/>
              </w:rPr>
              <w:t>December 31, 2023</w:t>
            </w:r>
          </w:p>
        </w:tc>
        <w:tc>
          <w:tcPr>
            <w:tcW w:w="0" w:type="dxa"/>
            <w:vAlign w:val="bottom"/>
          </w:tcPr>
          <w:p>
            <w:pPr>
              <w:spacing w:after="0"/>
              <w:rPr>
                <w:sz w:val="1"/>
                <w:szCs w:val="1"/>
                <w:color w:val="auto"/>
              </w:rPr>
            </w:pPr>
          </w:p>
        </w:tc>
      </w:tr>
      <w:tr>
        <w:trPr>
          <w:trHeight w:val="55"/>
        </w:trPr>
        <w:tc>
          <w:tcPr>
            <w:tcW w:w="69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b w:val="1"/>
                <w:bCs w:val="1"/>
                <w:color w:val="231F20"/>
              </w:rPr>
              <w:t>ASSETS</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Calibri" w:cs="Calibri" w:eastAsia="Calibri" w:hAnsi="Calibri"/>
                <w:sz w:val="18"/>
                <w:szCs w:val="18"/>
                <w:color w:val="231F20"/>
              </w:rPr>
              <w:t>Current assets:</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Cash, cash equivalents, and restricted cash</w:t>
            </w: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231F20"/>
                <w:w w:val="87"/>
              </w:rPr>
              <w:t>$</w:t>
            </w: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370.1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231F20"/>
                <w:w w:val="87"/>
              </w:rPr>
              <w:t>$</w:t>
            </w: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523.0</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Accounts receivable,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54.7</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Inventories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91.3</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Income tax receivable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0.3</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Prepaid expenses and other current 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28.9</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line="213" w:lineRule="exact"/>
              <w:rPr>
                <w:sz w:val="20"/>
                <w:szCs w:val="20"/>
                <w:color w:val="auto"/>
              </w:rPr>
            </w:pPr>
            <w:r>
              <w:rPr>
                <w:rFonts w:ascii="Calibri" w:cs="Calibri" w:eastAsia="Calibri" w:hAnsi="Calibri"/>
                <w:sz w:val="18"/>
                <w:szCs w:val="18"/>
                <w:color w:val="231F20"/>
              </w:rPr>
              <w:t>Total current assets</w:t>
            </w:r>
          </w:p>
        </w:tc>
        <w:tc>
          <w:tcPr>
            <w:tcW w:w="220" w:type="dxa"/>
            <w:vAlign w:val="bottom"/>
          </w:tcPr>
          <w:p>
            <w:pPr>
              <w:spacing w:after="0"/>
              <w:rPr>
                <w:sz w:val="18"/>
                <w:szCs w:val="18"/>
                <w:color w:val="auto"/>
              </w:rPr>
            </w:pPr>
          </w:p>
        </w:tc>
        <w:tc>
          <w:tcPr>
            <w:tcW w:w="1780" w:type="dxa"/>
            <w:vAlign w:val="bottom"/>
          </w:tcPr>
          <w:p>
            <w:pPr>
              <w:jc w:val="right"/>
              <w:spacing w:after="0" w:line="213" w:lineRule="exact"/>
              <w:rPr>
                <w:sz w:val="20"/>
                <w:szCs w:val="20"/>
                <w:color w:val="auto"/>
              </w:rPr>
            </w:pPr>
            <w:r>
              <w:rPr>
                <w:rFonts w:ascii="Calibri" w:cs="Calibri" w:eastAsia="Calibri" w:hAnsi="Calibri"/>
                <w:sz w:val="18"/>
                <w:szCs w:val="18"/>
                <w:color w:val="231F20"/>
              </w:rPr>
              <w:t>477.1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line="213" w:lineRule="exact"/>
              <w:rPr>
                <w:sz w:val="20"/>
                <w:szCs w:val="20"/>
                <w:color w:val="auto"/>
              </w:rPr>
            </w:pPr>
            <w:r>
              <w:rPr>
                <w:rFonts w:ascii="Calibri" w:cs="Calibri" w:eastAsia="Calibri" w:hAnsi="Calibri"/>
                <w:sz w:val="18"/>
                <w:szCs w:val="18"/>
                <w:color w:val="231F20"/>
              </w:rPr>
              <w:t>698.3</w:t>
            </w:r>
          </w:p>
        </w:tc>
        <w:tc>
          <w:tcPr>
            <w:tcW w:w="0" w:type="dxa"/>
            <w:vAlign w:val="bottom"/>
          </w:tcPr>
          <w:p>
            <w:pPr>
              <w:spacing w:after="0"/>
              <w:rPr>
                <w:sz w:val="1"/>
                <w:szCs w:val="1"/>
                <w:color w:val="auto"/>
              </w:rPr>
            </w:pPr>
          </w:p>
        </w:tc>
      </w:tr>
      <w:tr>
        <w:trPr>
          <w:trHeight w:val="64"/>
        </w:trPr>
        <w:tc>
          <w:tcPr>
            <w:tcW w:w="6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8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231F20"/>
              </w:rPr>
              <w:t>Property and equipment, net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14.2</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Calibri" w:cs="Calibri" w:eastAsia="Calibri" w:hAnsi="Calibri"/>
                <w:sz w:val="18"/>
                <w:szCs w:val="18"/>
                <w:color w:val="231F20"/>
              </w:rPr>
              <w:t>Right-of-use assets,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12.1</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62.1</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Calibri" w:cs="Calibri" w:eastAsia="Calibri" w:hAnsi="Calibri"/>
                <w:sz w:val="18"/>
                <w:szCs w:val="18"/>
                <w:color w:val="231F20"/>
              </w:rPr>
              <w:t>Goodwill</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123.5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125.8</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Deferred income tax assets,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0.5</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20"/>
              <w:spacing w:after="0"/>
              <w:rPr>
                <w:sz w:val="20"/>
                <w:szCs w:val="20"/>
                <w:color w:val="auto"/>
              </w:rPr>
            </w:pPr>
            <w:r>
              <w:rPr>
                <w:rFonts w:ascii="Calibri" w:cs="Calibri" w:eastAsia="Calibri" w:hAnsi="Calibri"/>
                <w:sz w:val="18"/>
                <w:szCs w:val="18"/>
                <w:color w:val="231F20"/>
              </w:rPr>
              <w:t>Other assets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16.0</w:t>
            </w:r>
          </w:p>
        </w:tc>
        <w:tc>
          <w:tcPr>
            <w:tcW w:w="0" w:type="dxa"/>
            <w:vAlign w:val="bottom"/>
          </w:tcPr>
          <w:p>
            <w:pPr>
              <w:spacing w:after="0"/>
              <w:rPr>
                <w:sz w:val="1"/>
                <w:szCs w:val="1"/>
                <w:color w:val="auto"/>
              </w:rPr>
            </w:pPr>
          </w:p>
        </w:tc>
      </w:tr>
      <w:tr>
        <w:trPr>
          <w:trHeight w:val="64"/>
        </w:trPr>
        <w:tc>
          <w:tcPr>
            <w:tcW w:w="6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980" w:type="dxa"/>
            <w:vAlign w:val="bottom"/>
            <w:tcBorders>
              <w:bottom w:val="single" w:sz="8" w:color="CCEEFF"/>
            </w:tcBorders>
            <w:shd w:val="clear" w:color="auto" w:fill="CCEEFF"/>
          </w:tcPr>
          <w:p>
            <w:pPr>
              <w:ind w:left="500"/>
              <w:spacing w:after="0"/>
              <w:rPr>
                <w:sz w:val="20"/>
                <w:szCs w:val="20"/>
                <w:color w:val="auto"/>
              </w:rPr>
            </w:pPr>
            <w:r>
              <w:rPr>
                <w:rFonts w:ascii="Calibri" w:cs="Calibri" w:eastAsia="Calibri" w:hAnsi="Calibri"/>
                <w:sz w:val="18"/>
                <w:szCs w:val="18"/>
                <w:b w:val="1"/>
                <w:bCs w:val="1"/>
                <w:color w:val="231F20"/>
              </w:rPr>
              <w:t>TOTAL ASSETS</w:t>
            </w:r>
          </w:p>
        </w:tc>
        <w:tc>
          <w:tcPr>
            <w:tcW w:w="220" w:type="dxa"/>
            <w:vAlign w:val="bottom"/>
            <w:tcBorders>
              <w:bottom w:val="single" w:sz="8" w:color="CCEEFF"/>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7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685.7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8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929.1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231F20"/>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Current liabilites: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Accounts payable</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231F20"/>
                <w:w w:val="87"/>
              </w:rPr>
              <w:t>$</w:t>
            </w: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21.9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Calibri" w:cs="Calibri" w:eastAsia="Calibri" w:hAnsi="Calibri"/>
                <w:sz w:val="18"/>
                <w:szCs w:val="18"/>
                <w:color w:val="231F20"/>
                <w:w w:val="87"/>
              </w:rPr>
              <w:t>$</w:t>
            </w: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44.8</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22.0</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Lease liabilites, current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4.6</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Income tax payable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2.8</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Syndeo Program reserves</w:t>
            </w:r>
          </w:p>
        </w:tc>
        <w:tc>
          <w:tcPr>
            <w:tcW w:w="22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Calibri" w:cs="Calibri" w:eastAsia="Calibri" w:hAnsi="Calibri"/>
                <w:sz w:val="18"/>
                <w:szCs w:val="18"/>
                <w:color w:val="231F20"/>
              </w:rPr>
              <w: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21.0</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Other accrued expenses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19.8</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line="213" w:lineRule="exact"/>
              <w:rPr>
                <w:sz w:val="20"/>
                <w:szCs w:val="20"/>
                <w:color w:val="auto"/>
              </w:rPr>
            </w:pPr>
            <w:r>
              <w:rPr>
                <w:rFonts w:ascii="Calibri" w:cs="Calibri" w:eastAsia="Calibri" w:hAnsi="Calibri"/>
                <w:sz w:val="18"/>
                <w:szCs w:val="18"/>
                <w:color w:val="231F20"/>
              </w:rPr>
              <w:t>Total current liabilites</w:t>
            </w:r>
          </w:p>
        </w:tc>
        <w:tc>
          <w:tcPr>
            <w:tcW w:w="220" w:type="dxa"/>
            <w:vAlign w:val="bottom"/>
          </w:tcPr>
          <w:p>
            <w:pPr>
              <w:spacing w:after="0"/>
              <w:rPr>
                <w:sz w:val="18"/>
                <w:szCs w:val="18"/>
                <w:color w:val="auto"/>
              </w:rPr>
            </w:pPr>
          </w:p>
        </w:tc>
        <w:tc>
          <w:tcPr>
            <w:tcW w:w="1780" w:type="dxa"/>
            <w:vAlign w:val="bottom"/>
          </w:tcPr>
          <w:p>
            <w:pPr>
              <w:jc w:val="right"/>
              <w:spacing w:after="0" w:line="213" w:lineRule="exact"/>
              <w:rPr>
                <w:sz w:val="20"/>
                <w:szCs w:val="20"/>
                <w:color w:val="auto"/>
              </w:rPr>
            </w:pPr>
            <w:r>
              <w:rPr>
                <w:rFonts w:ascii="Calibri" w:cs="Calibri" w:eastAsia="Calibri" w:hAnsi="Calibri"/>
                <w:sz w:val="18"/>
                <w:szCs w:val="18"/>
                <w:color w:val="231F20"/>
              </w:rPr>
              <w:t>68.2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line="213" w:lineRule="exact"/>
              <w:rPr>
                <w:sz w:val="20"/>
                <w:szCs w:val="20"/>
                <w:color w:val="auto"/>
              </w:rPr>
            </w:pPr>
            <w:r>
              <w:rPr>
                <w:rFonts w:ascii="Calibri" w:cs="Calibri" w:eastAsia="Calibri" w:hAnsi="Calibri"/>
                <w:sz w:val="18"/>
                <w:szCs w:val="18"/>
                <w:color w:val="231F20"/>
              </w:rPr>
              <w:t>115.0</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Lease liabilites, non-current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9.3</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20"/>
              <w:spacing w:after="0"/>
              <w:rPr>
                <w:sz w:val="20"/>
                <w:szCs w:val="20"/>
                <w:color w:val="auto"/>
              </w:rPr>
            </w:pPr>
            <w:r>
              <w:rPr>
                <w:rFonts w:ascii="Calibri" w:cs="Calibri" w:eastAsia="Calibri" w:hAnsi="Calibri"/>
                <w:sz w:val="18"/>
                <w:szCs w:val="18"/>
                <w:color w:val="231F20"/>
              </w:rPr>
              <w:t>Deferred income tax liabilites,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0.7</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Warrant liabilites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3.6</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20"/>
              <w:spacing w:after="0"/>
              <w:rPr>
                <w:sz w:val="20"/>
                <w:szCs w:val="20"/>
                <w:color w:val="auto"/>
              </w:rPr>
            </w:pPr>
            <w:r>
              <w:rPr>
                <w:rFonts w:ascii="Calibri" w:cs="Calibri" w:eastAsia="Calibri" w:hAnsi="Calibri"/>
                <w:sz w:val="18"/>
                <w:szCs w:val="18"/>
                <w:color w:val="231F20"/>
              </w:rPr>
              <w:t>Convertble senior notes,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552.2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738.4</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Other long-term liabilites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2.8</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500"/>
              <w:spacing w:after="0" w:line="213" w:lineRule="exact"/>
              <w:rPr>
                <w:sz w:val="20"/>
                <w:szCs w:val="20"/>
                <w:color w:val="auto"/>
              </w:rPr>
            </w:pPr>
            <w:r>
              <w:rPr>
                <w:rFonts w:ascii="Calibri" w:cs="Calibri" w:eastAsia="Calibri" w:hAnsi="Calibri"/>
                <w:sz w:val="18"/>
                <w:szCs w:val="18"/>
                <w:b w:val="1"/>
                <w:bCs w:val="1"/>
                <w:color w:val="231F20"/>
              </w:rPr>
              <w:t>TOTAL LIABILITIES</w:t>
            </w:r>
          </w:p>
        </w:tc>
        <w:tc>
          <w:tcPr>
            <w:tcW w:w="220" w:type="dxa"/>
            <w:vAlign w:val="bottom"/>
          </w:tcPr>
          <w:p>
            <w:pPr>
              <w:jc w:val="right"/>
              <w:ind w:right="30"/>
              <w:spacing w:after="0" w:line="213" w:lineRule="exact"/>
              <w:rPr>
                <w:sz w:val="20"/>
                <w:szCs w:val="20"/>
                <w:color w:val="auto"/>
              </w:rPr>
            </w:pPr>
            <w:r>
              <w:rPr>
                <w:rFonts w:ascii="Calibri" w:cs="Calibri" w:eastAsia="Calibri" w:hAnsi="Calibri"/>
                <w:sz w:val="18"/>
                <w:szCs w:val="18"/>
                <w:color w:val="231F20"/>
                <w:w w:val="87"/>
              </w:rPr>
              <w:t>$</w:t>
            </w:r>
          </w:p>
        </w:tc>
        <w:tc>
          <w:tcPr>
            <w:tcW w:w="1780" w:type="dxa"/>
            <w:vAlign w:val="bottom"/>
          </w:tcPr>
          <w:p>
            <w:pPr>
              <w:jc w:val="right"/>
              <w:spacing w:after="0" w:line="213" w:lineRule="exact"/>
              <w:rPr>
                <w:sz w:val="20"/>
                <w:szCs w:val="20"/>
                <w:color w:val="auto"/>
              </w:rPr>
            </w:pPr>
            <w:r>
              <w:rPr>
                <w:rFonts w:ascii="Calibri" w:cs="Calibri" w:eastAsia="Calibri" w:hAnsi="Calibri"/>
                <w:sz w:val="18"/>
                <w:szCs w:val="18"/>
                <w:color w:val="231F20"/>
              </w:rPr>
              <w:t>633.9</w:t>
            </w:r>
          </w:p>
        </w:tc>
        <w:tc>
          <w:tcPr>
            <w:tcW w:w="100" w:type="dxa"/>
            <w:vAlign w:val="bottom"/>
          </w:tcPr>
          <w:p>
            <w:pPr>
              <w:spacing w:after="0"/>
              <w:rPr>
                <w:sz w:val="18"/>
                <w:szCs w:val="18"/>
                <w:color w:val="auto"/>
              </w:rPr>
            </w:pPr>
          </w:p>
        </w:tc>
        <w:tc>
          <w:tcPr>
            <w:tcW w:w="220" w:type="dxa"/>
            <w:vAlign w:val="bottom"/>
          </w:tcPr>
          <w:p>
            <w:pPr>
              <w:jc w:val="right"/>
              <w:ind w:right="30"/>
              <w:spacing w:after="0" w:line="213" w:lineRule="exact"/>
              <w:rPr>
                <w:sz w:val="20"/>
                <w:szCs w:val="20"/>
                <w:color w:val="auto"/>
              </w:rPr>
            </w:pPr>
            <w:r>
              <w:rPr>
                <w:rFonts w:ascii="Calibri" w:cs="Calibri" w:eastAsia="Calibri" w:hAnsi="Calibri"/>
                <w:sz w:val="18"/>
                <w:szCs w:val="18"/>
                <w:color w:val="231F20"/>
                <w:w w:val="87"/>
              </w:rPr>
              <w:t>$</w:t>
            </w:r>
          </w:p>
        </w:tc>
        <w:tc>
          <w:tcPr>
            <w:tcW w:w="1800" w:type="dxa"/>
            <w:vAlign w:val="bottom"/>
          </w:tcPr>
          <w:p>
            <w:pPr>
              <w:jc w:val="right"/>
              <w:spacing w:after="0" w:line="213" w:lineRule="exact"/>
              <w:rPr>
                <w:sz w:val="20"/>
                <w:szCs w:val="20"/>
                <w:color w:val="auto"/>
              </w:rPr>
            </w:pPr>
            <w:r>
              <w:rPr>
                <w:rFonts w:ascii="Calibri" w:cs="Calibri" w:eastAsia="Calibri" w:hAnsi="Calibri"/>
                <w:sz w:val="18"/>
                <w:szCs w:val="18"/>
                <w:color w:val="231F20"/>
              </w:rPr>
              <w:t>869.7</w:t>
            </w:r>
          </w:p>
        </w:tc>
        <w:tc>
          <w:tcPr>
            <w:tcW w:w="0" w:type="dxa"/>
            <w:vAlign w:val="bottom"/>
          </w:tcPr>
          <w:p>
            <w:pPr>
              <w:spacing w:after="0"/>
              <w:rPr>
                <w:sz w:val="1"/>
                <w:szCs w:val="1"/>
                <w:color w:val="auto"/>
              </w:rPr>
            </w:pPr>
          </w:p>
        </w:tc>
      </w:tr>
      <w:tr>
        <w:trPr>
          <w:trHeight w:val="64"/>
        </w:trPr>
        <w:tc>
          <w:tcPr>
            <w:tcW w:w="6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20"/>
              <w:spacing w:after="0"/>
              <w:rPr>
                <w:sz w:val="20"/>
                <w:szCs w:val="20"/>
                <w:color w:val="auto"/>
              </w:rPr>
            </w:pPr>
            <w:r>
              <w:rPr>
                <w:rFonts w:ascii="Calibri" w:cs="Calibri" w:eastAsia="Calibri" w:hAnsi="Calibri"/>
                <w:sz w:val="18"/>
                <w:szCs w:val="18"/>
                <w:color w:val="231F20"/>
              </w:rPr>
              <w:t>Stockholders’ equity:</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Class A Common Stock</w:t>
            </w: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231F20"/>
                <w:w w:val="87"/>
              </w:rPr>
              <w:t>$</w:t>
            </w:r>
          </w:p>
        </w:tc>
        <w:tc>
          <w:tcPr>
            <w:tcW w:w="18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231F20"/>
              </w:rPr>
              <w:t>—</w:t>
            </w:r>
          </w:p>
        </w:tc>
        <w:tc>
          <w:tcPr>
            <w:tcW w:w="2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231F20"/>
                <w:w w:val="87"/>
              </w:rPr>
              <w:t>$</w:t>
            </w: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340"/>
              <w:spacing w:after="0"/>
              <w:rPr>
                <w:sz w:val="20"/>
                <w:szCs w:val="20"/>
                <w:color w:val="auto"/>
              </w:rPr>
            </w:pPr>
            <w:r>
              <w:rPr>
                <w:rFonts w:ascii="Calibri" w:cs="Calibri" w:eastAsia="Calibri" w:hAnsi="Calibri"/>
                <w:sz w:val="18"/>
                <w:szCs w:val="18"/>
                <w:color w:val="231F20"/>
              </w:rPr>
              <w:t>Additonal paid-in capital</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566.7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541.3</w:t>
            </w:r>
          </w:p>
        </w:tc>
        <w:tc>
          <w:tcPr>
            <w:tcW w:w="0" w:type="dxa"/>
            <w:vAlign w:val="bottom"/>
          </w:tcPr>
          <w:p>
            <w:pPr>
              <w:spacing w:after="0"/>
              <w:rPr>
                <w:sz w:val="1"/>
                <w:szCs w:val="1"/>
                <w:color w:val="auto"/>
              </w:rPr>
            </w:pPr>
          </w:p>
        </w:tc>
      </w:tr>
      <w:tr>
        <w:trPr>
          <w:trHeight w:val="64"/>
        </w:trPr>
        <w:tc>
          <w:tcPr>
            <w:tcW w:w="6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231F20"/>
              </w:rPr>
              <w:t>Accumulated other comprehensive loss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(3.0)</w:t>
            </w:r>
          </w:p>
        </w:tc>
        <w:tc>
          <w:tcPr>
            <w:tcW w:w="0" w:type="dxa"/>
            <w:vAlign w:val="bottom"/>
          </w:tcPr>
          <w:p>
            <w:pPr>
              <w:spacing w:after="0"/>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340"/>
              <w:spacing w:after="0"/>
              <w:rPr>
                <w:sz w:val="20"/>
                <w:szCs w:val="20"/>
                <w:color w:val="auto"/>
              </w:rPr>
            </w:pPr>
            <w:r>
              <w:rPr>
                <w:rFonts w:ascii="Calibri" w:cs="Calibri" w:eastAsia="Calibri" w:hAnsi="Calibri"/>
                <w:sz w:val="18"/>
                <w:szCs w:val="18"/>
                <w:color w:val="231F20"/>
              </w:rPr>
              <w:t>Accumulated defcit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231F20"/>
              </w:rPr>
              <w:t>(508.0)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231F20"/>
              </w:rPr>
              <w:t>(478.9)</w:t>
            </w:r>
          </w:p>
        </w:tc>
        <w:tc>
          <w:tcPr>
            <w:tcW w:w="0" w:type="dxa"/>
            <w:vAlign w:val="bottom"/>
          </w:tcPr>
          <w:p>
            <w:pPr>
              <w:spacing w:after="0"/>
              <w:rPr>
                <w:sz w:val="1"/>
                <w:szCs w:val="1"/>
                <w:color w:val="auto"/>
              </w:rPr>
            </w:pPr>
          </w:p>
        </w:tc>
      </w:tr>
      <w:tr>
        <w:trPr>
          <w:trHeight w:val="64"/>
        </w:trPr>
        <w:tc>
          <w:tcPr>
            <w:tcW w:w="6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980" w:type="dxa"/>
            <w:vAlign w:val="bottom"/>
            <w:tcBorders>
              <w:bottom w:val="single" w:sz="8" w:color="CCEEFF"/>
            </w:tcBorders>
            <w:shd w:val="clear" w:color="auto" w:fill="CCEEFF"/>
          </w:tcPr>
          <w:p>
            <w:pPr>
              <w:ind w:left="500"/>
              <w:spacing w:after="0"/>
              <w:rPr>
                <w:sz w:val="20"/>
                <w:szCs w:val="20"/>
                <w:color w:val="auto"/>
              </w:rPr>
            </w:pPr>
            <w:r>
              <w:rPr>
                <w:rFonts w:ascii="Calibri" w:cs="Calibri" w:eastAsia="Calibri" w:hAnsi="Calibri"/>
                <w:sz w:val="18"/>
                <w:szCs w:val="18"/>
                <w:b w:val="1"/>
                <w:bCs w:val="1"/>
                <w:color w:val="231F20"/>
              </w:rPr>
              <w:t>Total stockholders’ equity</w:t>
            </w:r>
          </w:p>
        </w:tc>
        <w:tc>
          <w:tcPr>
            <w:tcW w:w="220" w:type="dxa"/>
            <w:vAlign w:val="bottom"/>
            <w:tcBorders>
              <w:bottom w:val="single" w:sz="8" w:color="CCEEFF"/>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7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51.8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8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231F20"/>
              </w:rPr>
              <w:t>59.4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980" w:type="dxa"/>
            <w:vAlign w:val="bottom"/>
          </w:tcPr>
          <w:p>
            <w:pPr>
              <w:ind w:left="540"/>
              <w:spacing w:after="0"/>
              <w:rPr>
                <w:sz w:val="20"/>
                <w:szCs w:val="20"/>
                <w:color w:val="auto"/>
              </w:rPr>
            </w:pPr>
            <w:r>
              <w:rPr>
                <w:rFonts w:ascii="Calibri" w:cs="Calibri" w:eastAsia="Calibri" w:hAnsi="Calibri"/>
                <w:sz w:val="18"/>
                <w:szCs w:val="18"/>
                <w:b w:val="1"/>
                <w:bCs w:val="1"/>
                <w:color w:val="231F20"/>
              </w:rPr>
              <w:t>LIABILITIES AND STOCKHOLDERS’ EQUITY</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231F20"/>
              </w:rPr>
              <w:t>685.7</w:t>
            </w:r>
          </w:p>
        </w:tc>
        <w:tc>
          <w:tcPr>
            <w:tcW w:w="10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231F20"/>
                <w:w w:val="87"/>
              </w:rPr>
              <w:t>$</w:t>
            </w: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231F20"/>
              </w:rPr>
              <w:t>929.1</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tabs>
          <w:tab w:leader="none" w:pos="300" w:val="left"/>
        </w:tabs>
        <w:rPr>
          <w:sz w:val="20"/>
          <w:szCs w:val="20"/>
          <w:color w:val="auto"/>
        </w:rPr>
      </w:pPr>
      <w:r>
        <w:rPr>
          <w:rFonts w:ascii="Calibri" w:cs="Calibri" w:eastAsia="Calibri" w:hAnsi="Calibri"/>
          <w:sz w:val="16"/>
          <w:szCs w:val="16"/>
          <w:color w:val="auto"/>
        </w:rPr>
        <w:t>(1)</w:t>
        <w:tab/>
        <w:t>Amounts may not sum due to rounding.</w:t>
      </w:r>
    </w:p>
    <w:p>
      <w:pPr>
        <w:sectPr>
          <w:pgSz w:w="11900" w:h="16838" w:orient="portrait"/>
          <w:cols w:equalWidth="0" w:num="1">
            <w:col w:w="11180"/>
          </w:cols>
          <w:pgMar w:left="320" w:top="1192" w:right="399" w:bottom="7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180"/>
          </w:cols>
          <w:pgMar w:left="320" w:top="1192" w:right="399" w:bottom="739" w:gutter="0" w:footer="0" w:header="0"/>
          <w:type w:val="continuous"/>
        </w:sectPr>
      </w:pPr>
    </w:p>
    <w:bookmarkStart w:id="9" w:name="page10"/>
    <w:bookmarkEnd w:id="9"/>
    <w:p>
      <w:pPr>
        <w:jc w:val="center"/>
        <w:ind w:right="-19"/>
        <w:spacing w:after="0"/>
        <w:rPr>
          <w:sz w:val="20"/>
          <w:szCs w:val="20"/>
          <w:color w:val="auto"/>
        </w:rPr>
      </w:pPr>
      <w:r>
        <w:rPr>
          <w:rFonts w:ascii="Calibri" w:cs="Calibri" w:eastAsia="Calibri" w:hAnsi="Calibri"/>
          <w:sz w:val="18"/>
          <w:szCs w:val="18"/>
          <w:b w:val="1"/>
          <w:bCs w:val="1"/>
          <w:color w:val="auto"/>
        </w:rPr>
        <w:t>The Beauty Health Company</w:t>
      </w:r>
    </w:p>
    <w:p>
      <w:pPr>
        <w:jc w:val="center"/>
        <w:spacing w:after="0" w:line="216" w:lineRule="auto"/>
        <w:rPr>
          <w:sz w:val="20"/>
          <w:szCs w:val="20"/>
          <w:color w:val="auto"/>
        </w:rPr>
      </w:pPr>
      <w:r>
        <w:rPr>
          <w:rFonts w:ascii="Calibri" w:cs="Calibri" w:eastAsia="Calibri" w:hAnsi="Calibri"/>
          <w:sz w:val="18"/>
          <w:szCs w:val="18"/>
          <w:b w:val="1"/>
          <w:bCs w:val="1"/>
          <w:color w:val="auto"/>
        </w:rPr>
        <w:t xml:space="preserve">Consolidated Statement of Cash Flows </w:t>
      </w:r>
      <w:r>
        <w:rPr>
          <w:rFonts w:ascii="Calibri" w:cs="Calibri" w:eastAsia="Calibri" w:hAnsi="Calibri"/>
          <w:sz w:val="23"/>
          <w:szCs w:val="23"/>
          <w:b w:val="1"/>
          <w:bCs w:val="1"/>
          <w:color w:val="auto"/>
          <w:vertAlign w:val="superscript"/>
        </w:rPr>
        <w:t>(1)</w:t>
      </w:r>
    </w:p>
    <w:p>
      <w:pPr>
        <w:jc w:val="center"/>
        <w:spacing w:after="0" w:line="195" w:lineRule="auto"/>
        <w:rPr>
          <w:sz w:val="20"/>
          <w:szCs w:val="20"/>
          <w:color w:val="auto"/>
        </w:rPr>
      </w:pPr>
      <w:r>
        <w:rPr>
          <w:rFonts w:ascii="Calibri" w:cs="Calibri" w:eastAsia="Calibri" w:hAnsi="Calibri"/>
          <w:sz w:val="18"/>
          <w:szCs w:val="18"/>
          <w:b w:val="1"/>
          <w:bCs w:val="1"/>
          <w:color w:val="auto"/>
        </w:rPr>
        <w:t>($ in millions)</w:t>
      </w:r>
    </w:p>
    <w:p>
      <w:pPr>
        <w:spacing w:after="0" w:line="1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(Unaudited)</w:t>
      </w: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620" w:type="dxa"/>
            <w:vAlign w:val="bottom"/>
            <w:gridSpan w:val="4"/>
          </w:tcPr>
          <w:p>
            <w:pPr>
              <w:jc w:val="right"/>
              <w:ind w:right="90"/>
              <w:spacing w:after="0"/>
              <w:rPr>
                <w:sz w:val="20"/>
                <w:szCs w:val="20"/>
                <w:color w:val="auto"/>
              </w:rPr>
            </w:pPr>
            <w:r>
              <w:rPr>
                <w:rFonts w:ascii="Calibri" w:cs="Calibri" w:eastAsia="Calibri" w:hAnsi="Calibri"/>
                <w:sz w:val="16"/>
                <w:szCs w:val="16"/>
                <w:b w:val="1"/>
                <w:bCs w:val="1"/>
                <w:color w:val="auto"/>
              </w:rPr>
              <w:t>Year Ended December 31,</w:t>
            </w:r>
          </w:p>
        </w:tc>
        <w:tc>
          <w:tcPr>
            <w:tcW w:w="560" w:type="dxa"/>
            <w:vAlign w:val="bottom"/>
          </w:tcPr>
          <w:p>
            <w:pPr>
              <w:spacing w:after="0"/>
              <w:rPr>
                <w:sz w:val="16"/>
                <w:szCs w:val="16"/>
                <w:color w:val="auto"/>
              </w:rPr>
            </w:pPr>
          </w:p>
        </w:tc>
      </w:tr>
      <w:tr>
        <w:trPr>
          <w:trHeight w:val="54"/>
        </w:trPr>
        <w:tc>
          <w:tcPr>
            <w:tcW w:w="78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13"/>
        </w:trPr>
        <w:tc>
          <w:tcPr>
            <w:tcW w:w="7800" w:type="dxa"/>
            <w:vAlign w:val="bottom"/>
          </w:tcPr>
          <w:p>
            <w:pPr>
              <w:spacing w:after="0"/>
              <w:rPr>
                <w:sz w:val="18"/>
                <w:szCs w:val="18"/>
                <w:color w:val="auto"/>
              </w:rPr>
            </w:pPr>
          </w:p>
        </w:tc>
        <w:tc>
          <w:tcPr>
            <w:tcW w:w="98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231F20"/>
              </w:rPr>
              <w:t>2024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13" w:lineRule="exact"/>
              <w:rPr>
                <w:sz w:val="20"/>
                <w:szCs w:val="20"/>
                <w:color w:val="auto"/>
              </w:rPr>
            </w:pPr>
            <w:r>
              <w:rPr>
                <w:rFonts w:ascii="Calibri" w:cs="Calibri" w:eastAsia="Calibri" w:hAnsi="Calibri"/>
                <w:sz w:val="18"/>
                <w:szCs w:val="18"/>
                <w:b w:val="1"/>
                <w:bCs w:val="1"/>
                <w:color w:val="231F20"/>
              </w:rPr>
              <w:t>2023</w:t>
            </w:r>
          </w:p>
        </w:tc>
        <w:tc>
          <w:tcPr>
            <w:tcW w:w="560" w:type="dxa"/>
            <w:vAlign w:val="bottom"/>
          </w:tcPr>
          <w:p>
            <w:pPr>
              <w:spacing w:after="0"/>
              <w:rPr>
                <w:sz w:val="18"/>
                <w:szCs w:val="18"/>
                <w:color w:val="auto"/>
              </w:rPr>
            </w:pP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Cash, cash equivalents, and restricted cash at beginning of period</w:t>
            </w:r>
          </w:p>
        </w:tc>
        <w:tc>
          <w:tcPr>
            <w:tcW w:w="980" w:type="dxa"/>
            <w:vAlign w:val="bottom"/>
            <w:shd w:val="clear" w:color="auto" w:fill="CCEEFF"/>
          </w:tcPr>
          <w:p>
            <w:pPr>
              <w:jc w:val="right"/>
              <w:ind w:right="792"/>
              <w:spacing w:after="0"/>
              <w:rPr>
                <w:sz w:val="20"/>
                <w:szCs w:val="20"/>
                <w:color w:val="auto"/>
              </w:rPr>
            </w:pPr>
            <w:r>
              <w:rPr>
                <w:rFonts w:ascii="Calibri" w:cs="Calibri" w:eastAsia="Calibri" w:hAnsi="Calibri"/>
                <w:sz w:val="18"/>
                <w:szCs w:val="18"/>
                <w:color w:val="231F20"/>
                <w:w w:val="87"/>
              </w:rPr>
              <w:t>$</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523.0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Calibri" w:cs="Calibri" w:eastAsia="Calibri" w:hAnsi="Calibri"/>
                <w:sz w:val="18"/>
                <w:szCs w:val="18"/>
                <w:color w:val="231F20"/>
                <w:w w:val="87"/>
              </w:rPr>
              <w:t>$</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568.2</w:t>
            </w: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19"/>
        </w:trPr>
        <w:tc>
          <w:tcPr>
            <w:tcW w:w="7800" w:type="dxa"/>
            <w:vAlign w:val="bottom"/>
          </w:tcPr>
          <w:p>
            <w:pPr>
              <w:ind w:left="20"/>
              <w:spacing w:after="0"/>
              <w:rPr>
                <w:sz w:val="20"/>
                <w:szCs w:val="20"/>
                <w:color w:val="auto"/>
              </w:rPr>
            </w:pPr>
            <w:r>
              <w:rPr>
                <w:rFonts w:ascii="Calibri" w:cs="Calibri" w:eastAsia="Calibri" w:hAnsi="Calibri"/>
                <w:sz w:val="18"/>
                <w:szCs w:val="18"/>
                <w:color w:val="231F20"/>
              </w:rPr>
              <w:t>Operatng actvites: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9"/>
        </w:trPr>
        <w:tc>
          <w:tcPr>
            <w:tcW w:w="78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231F20"/>
              </w:rPr>
              <w:t>Net loss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96"/>
              </w:rPr>
              <w:t>(100.1)</w:t>
            </w: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20"/>
        </w:trPr>
        <w:tc>
          <w:tcPr>
            <w:tcW w:w="7800" w:type="dxa"/>
            <w:vAlign w:val="bottom"/>
          </w:tcPr>
          <w:p>
            <w:pPr>
              <w:ind w:left="20"/>
              <w:spacing w:after="0"/>
              <w:rPr>
                <w:sz w:val="20"/>
                <w:szCs w:val="20"/>
                <w:color w:val="auto"/>
              </w:rPr>
            </w:pPr>
            <w:r>
              <w:rPr>
                <w:rFonts w:ascii="Calibri" w:cs="Calibri" w:eastAsia="Calibri" w:hAnsi="Calibri"/>
                <w:sz w:val="18"/>
                <w:szCs w:val="18"/>
                <w:color w:val="231F20"/>
              </w:rPr>
              <w:t>Non-cash adjustments: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72.6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98.5</w:t>
            </w: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Change in operatng assets and liabilites: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20"/>
        </w:trPr>
        <w:tc>
          <w:tcPr>
            <w:tcW w:w="7800" w:type="dxa"/>
            <w:vAlign w:val="bottom"/>
          </w:tcPr>
          <w:p>
            <w:pPr>
              <w:ind w:left="240"/>
              <w:spacing w:after="0"/>
              <w:rPr>
                <w:sz w:val="20"/>
                <w:szCs w:val="20"/>
                <w:color w:val="auto"/>
              </w:rPr>
            </w:pPr>
            <w:r>
              <w:rPr>
                <w:rFonts w:ascii="Calibri" w:cs="Calibri" w:eastAsia="Calibri" w:hAnsi="Calibri"/>
                <w:sz w:val="18"/>
                <w:szCs w:val="18"/>
                <w:color w:val="231F20"/>
              </w:rPr>
              <w:t>Accounts receivable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20.8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16.5</w:t>
            </w: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Calibri" w:cs="Calibri" w:eastAsia="Calibri" w:hAnsi="Calibri"/>
                <w:sz w:val="18"/>
                <w:szCs w:val="18"/>
                <w:color w:val="231F20"/>
              </w:rPr>
              <w:t>Inventories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(10.5)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(22.6)</w:t>
            </w: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19"/>
        </w:trPr>
        <w:tc>
          <w:tcPr>
            <w:tcW w:w="7800" w:type="dxa"/>
            <w:vAlign w:val="bottom"/>
          </w:tcPr>
          <w:p>
            <w:pPr>
              <w:ind w:left="240"/>
              <w:spacing w:after="0"/>
              <w:rPr>
                <w:sz w:val="20"/>
                <w:szCs w:val="20"/>
                <w:color w:val="auto"/>
              </w:rPr>
            </w:pPr>
            <w:r>
              <w:rPr>
                <w:rFonts w:ascii="Calibri" w:cs="Calibri" w:eastAsia="Calibri" w:hAnsi="Calibri"/>
                <w:sz w:val="18"/>
                <w:szCs w:val="18"/>
                <w:color w:val="231F20"/>
              </w:rPr>
              <w:t>Prepaid expenses, other current assets, and income tax receivable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15.5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(7.0)</w:t>
            </w: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20"/>
        </w:trPr>
        <w:tc>
          <w:tcPr>
            <w:tcW w:w="7800" w:type="dxa"/>
            <w:vAlign w:val="bottom"/>
            <w:shd w:val="clear" w:color="auto" w:fill="CCEEFF"/>
          </w:tcPr>
          <w:p>
            <w:pPr>
              <w:ind w:left="240"/>
              <w:spacing w:after="0"/>
              <w:rPr>
                <w:sz w:val="20"/>
                <w:szCs w:val="20"/>
                <w:color w:val="auto"/>
              </w:rPr>
            </w:pPr>
            <w:r>
              <w:rPr>
                <w:rFonts w:ascii="Calibri" w:cs="Calibri" w:eastAsia="Calibri" w:hAnsi="Calibri"/>
                <w:sz w:val="18"/>
                <w:szCs w:val="18"/>
                <w:color w:val="231F20"/>
              </w:rPr>
              <w:t>Accounts payable, accrued expenses, and income tax payable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(43.8)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44.0</w:t>
            </w: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20"/>
        </w:trPr>
        <w:tc>
          <w:tcPr>
            <w:tcW w:w="7800" w:type="dxa"/>
            <w:vAlign w:val="bottom"/>
          </w:tcPr>
          <w:p>
            <w:pPr>
              <w:ind w:left="240"/>
              <w:spacing w:after="0"/>
              <w:rPr>
                <w:sz w:val="20"/>
                <w:szCs w:val="20"/>
                <w:color w:val="auto"/>
              </w:rPr>
            </w:pPr>
            <w:r>
              <w:rPr>
                <w:rFonts w:ascii="Calibri" w:cs="Calibri" w:eastAsia="Calibri" w:hAnsi="Calibri"/>
                <w:sz w:val="18"/>
                <w:szCs w:val="18"/>
                <w:color w:val="231F20"/>
              </w:rPr>
              <w:t>Other, net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(9.4)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231F20"/>
              </w:rPr>
              <w:t>(7.6)</w:t>
            </w:r>
          </w:p>
        </w:tc>
      </w:tr>
      <w:tr>
        <w:trPr>
          <w:trHeight w:val="64"/>
        </w:trPr>
        <w:tc>
          <w:tcPr>
            <w:tcW w:w="78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213"/>
        </w:trPr>
        <w:tc>
          <w:tcPr>
            <w:tcW w:w="78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231F20"/>
              </w:rPr>
              <w:t>Net cash provided by operatng actvites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16.1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231F20"/>
              </w:rPr>
              <w:t>21.8</w:t>
            </w:r>
          </w:p>
        </w:tc>
      </w:tr>
      <w:tr>
        <w:trPr>
          <w:trHeight w:val="64"/>
        </w:trPr>
        <w:tc>
          <w:tcPr>
            <w:tcW w:w="78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19"/>
        </w:trPr>
        <w:tc>
          <w:tcPr>
            <w:tcW w:w="7800" w:type="dxa"/>
            <w:vAlign w:val="bottom"/>
          </w:tcPr>
          <w:p>
            <w:pPr>
              <w:ind w:left="20"/>
              <w:spacing w:after="0"/>
              <w:rPr>
                <w:sz w:val="20"/>
                <w:szCs w:val="20"/>
                <w:color w:val="auto"/>
              </w:rPr>
            </w:pPr>
            <w:r>
              <w:rPr>
                <w:rFonts w:ascii="Calibri" w:cs="Calibri" w:eastAsia="Calibri" w:hAnsi="Calibri"/>
                <w:sz w:val="18"/>
                <w:szCs w:val="18"/>
                <w:color w:val="231F20"/>
              </w:rPr>
              <w:t>Net cash used for investng actvites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(31.5)</w:t>
            </w: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Net cash used for fnancing actvites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(158.3)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(37.4)</w:t>
            </w:r>
          </w:p>
        </w:tc>
      </w:tr>
      <w:tr>
        <w:trPr>
          <w:trHeight w:val="64"/>
        </w:trPr>
        <w:tc>
          <w:tcPr>
            <w:tcW w:w="7800" w:type="dxa"/>
            <w:vAlign w:val="bottom"/>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r>
      <w:tr>
        <w:trPr>
          <w:trHeight w:val="213"/>
        </w:trPr>
        <w:tc>
          <w:tcPr>
            <w:tcW w:w="7800" w:type="dxa"/>
            <w:vAlign w:val="bottom"/>
          </w:tcPr>
          <w:p>
            <w:pPr>
              <w:ind w:left="20"/>
              <w:spacing w:after="0" w:line="199" w:lineRule="exact"/>
              <w:rPr>
                <w:sz w:val="20"/>
                <w:szCs w:val="20"/>
                <w:color w:val="auto"/>
              </w:rPr>
            </w:pPr>
            <w:r>
              <w:rPr>
                <w:rFonts w:ascii="Calibri" w:cs="Calibri" w:eastAsia="Calibri" w:hAnsi="Calibri"/>
                <w:sz w:val="18"/>
                <w:szCs w:val="18"/>
                <w:color w:val="231F20"/>
              </w:rPr>
              <w:t>Net change in cash, cash equivalents, and restricted cash</w:t>
            </w:r>
          </w:p>
        </w:tc>
        <w:tc>
          <w:tcPr>
            <w:tcW w:w="980" w:type="dxa"/>
            <w:vAlign w:val="bottom"/>
          </w:tcPr>
          <w:p>
            <w:pPr>
              <w:spacing w:after="0"/>
              <w:rPr>
                <w:sz w:val="18"/>
                <w:szCs w:val="18"/>
                <w:color w:val="auto"/>
              </w:rPr>
            </w:pPr>
          </w:p>
        </w:tc>
        <w:tc>
          <w:tcPr>
            <w:tcW w:w="560" w:type="dxa"/>
            <w:vAlign w:val="bottom"/>
          </w:tcPr>
          <w:p>
            <w:pPr>
              <w:jc w:val="right"/>
              <w:spacing w:after="0" w:line="213" w:lineRule="exact"/>
              <w:rPr>
                <w:sz w:val="20"/>
                <w:szCs w:val="20"/>
                <w:color w:val="auto"/>
              </w:rPr>
            </w:pPr>
            <w:r>
              <w:rPr>
                <w:rFonts w:ascii="Calibri" w:cs="Calibri" w:eastAsia="Calibri" w:hAnsi="Calibri"/>
                <w:sz w:val="18"/>
                <w:szCs w:val="18"/>
                <w:color w:val="auto"/>
              </w:rPr>
              <w:t>(149.0)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line="213" w:lineRule="exact"/>
              <w:rPr>
                <w:sz w:val="20"/>
                <w:szCs w:val="20"/>
                <w:color w:val="auto"/>
              </w:rPr>
            </w:pPr>
            <w:r>
              <w:rPr>
                <w:rFonts w:ascii="Calibri" w:cs="Calibri" w:eastAsia="Calibri" w:hAnsi="Calibri"/>
                <w:sz w:val="18"/>
                <w:szCs w:val="18"/>
                <w:color w:val="auto"/>
              </w:rPr>
              <w:t>(47.2)</w:t>
            </w:r>
          </w:p>
        </w:tc>
      </w:tr>
      <w:tr>
        <w:trPr>
          <w:trHeight w:val="64"/>
        </w:trPr>
        <w:tc>
          <w:tcPr>
            <w:tcW w:w="7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Calibri" w:cs="Calibri" w:eastAsia="Calibri" w:hAnsi="Calibri"/>
                <w:sz w:val="18"/>
                <w:szCs w:val="18"/>
                <w:color w:val="231F20"/>
              </w:rPr>
              <w:t>Efect of foreign currency translaton</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w:t>
            </w:r>
          </w:p>
        </w:tc>
      </w:tr>
      <w:tr>
        <w:trPr>
          <w:trHeight w:val="64"/>
        </w:trPr>
        <w:tc>
          <w:tcPr>
            <w:tcW w:w="7800" w:type="dxa"/>
            <w:vAlign w:val="bottom"/>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r>
      <w:tr>
        <w:trPr>
          <w:trHeight w:val="213"/>
        </w:trPr>
        <w:tc>
          <w:tcPr>
            <w:tcW w:w="7800" w:type="dxa"/>
            <w:vAlign w:val="bottom"/>
          </w:tcPr>
          <w:p>
            <w:pPr>
              <w:ind w:left="20"/>
              <w:spacing w:after="0" w:line="199" w:lineRule="exact"/>
              <w:rPr>
                <w:sz w:val="20"/>
                <w:szCs w:val="20"/>
                <w:color w:val="auto"/>
              </w:rPr>
            </w:pPr>
            <w:r>
              <w:rPr>
                <w:rFonts w:ascii="Calibri" w:cs="Calibri" w:eastAsia="Calibri" w:hAnsi="Calibri"/>
                <w:sz w:val="18"/>
                <w:szCs w:val="18"/>
                <w:color w:val="231F20"/>
              </w:rPr>
              <w:t>Cash, cash equivalents, and restricted cash at end of period</w:t>
            </w:r>
          </w:p>
        </w:tc>
        <w:tc>
          <w:tcPr>
            <w:tcW w:w="980" w:type="dxa"/>
            <w:vAlign w:val="bottom"/>
          </w:tcPr>
          <w:p>
            <w:pPr>
              <w:jc w:val="right"/>
              <w:ind w:right="792"/>
              <w:spacing w:after="0" w:line="213"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3" w:lineRule="exact"/>
              <w:rPr>
                <w:sz w:val="20"/>
                <w:szCs w:val="20"/>
                <w:color w:val="auto"/>
              </w:rPr>
            </w:pPr>
            <w:r>
              <w:rPr>
                <w:rFonts w:ascii="Calibri" w:cs="Calibri" w:eastAsia="Calibri" w:hAnsi="Calibri"/>
                <w:sz w:val="18"/>
                <w:szCs w:val="18"/>
                <w:color w:val="auto"/>
              </w:rPr>
              <w:t>370.1</w:t>
            </w:r>
          </w:p>
        </w:tc>
        <w:tc>
          <w:tcPr>
            <w:tcW w:w="100" w:type="dxa"/>
            <w:vAlign w:val="bottom"/>
          </w:tcPr>
          <w:p>
            <w:pPr>
              <w:spacing w:after="0"/>
              <w:rPr>
                <w:sz w:val="18"/>
                <w:szCs w:val="18"/>
                <w:color w:val="auto"/>
              </w:rPr>
            </w:pPr>
          </w:p>
        </w:tc>
        <w:tc>
          <w:tcPr>
            <w:tcW w:w="980" w:type="dxa"/>
            <w:vAlign w:val="bottom"/>
          </w:tcPr>
          <w:p>
            <w:pPr>
              <w:jc w:val="right"/>
              <w:ind w:right="790"/>
              <w:spacing w:after="0" w:line="213"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3" w:lineRule="exact"/>
              <w:rPr>
                <w:sz w:val="20"/>
                <w:szCs w:val="20"/>
                <w:color w:val="auto"/>
              </w:rPr>
            </w:pPr>
            <w:r>
              <w:rPr>
                <w:rFonts w:ascii="Calibri" w:cs="Calibri" w:eastAsia="Calibri" w:hAnsi="Calibri"/>
                <w:sz w:val="18"/>
                <w:szCs w:val="18"/>
                <w:color w:val="auto"/>
              </w:rPr>
              <w:t>523.0</w:t>
            </w:r>
          </w:p>
        </w:tc>
      </w:tr>
      <w:tr>
        <w:trPr>
          <w:trHeight w:val="64"/>
        </w:trPr>
        <w:tc>
          <w:tcPr>
            <w:tcW w:w="78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tabs>
          <w:tab w:leader="none" w:pos="300" w:val="left"/>
        </w:tabs>
        <w:rPr>
          <w:sz w:val="20"/>
          <w:szCs w:val="20"/>
          <w:color w:val="auto"/>
        </w:rPr>
      </w:pPr>
      <w:r>
        <w:rPr>
          <w:rFonts w:ascii="Calibri" w:cs="Calibri" w:eastAsia="Calibri" w:hAnsi="Calibri"/>
          <w:sz w:val="16"/>
          <w:szCs w:val="16"/>
          <w:color w:val="auto"/>
        </w:rPr>
        <w:t>(1)</w:t>
        <w:tab/>
        <w:t>Amounts may not sum due to rounding.</w:t>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reconciles gross proft to adjusted gross proft for the periods presented: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5"/>
          </w:tcPr>
          <w:p>
            <w:pPr>
              <w:ind w:left="60"/>
              <w:spacing w:after="0"/>
              <w:rPr>
                <w:sz w:val="20"/>
                <w:szCs w:val="20"/>
                <w:color w:val="auto"/>
              </w:rPr>
            </w:pPr>
            <w:r>
              <w:rPr>
                <w:rFonts w:ascii="Calibri" w:cs="Calibri" w:eastAsia="Calibri" w:hAnsi="Calibri"/>
                <w:sz w:val="18"/>
                <w:szCs w:val="18"/>
                <w:b w:val="1"/>
                <w:bCs w:val="1"/>
                <w:color w:val="auto"/>
              </w:rPr>
              <w:t>Three Months Ended December 31,</w:t>
            </w:r>
          </w:p>
        </w:tc>
        <w:tc>
          <w:tcPr>
            <w:tcW w:w="340" w:type="dxa"/>
            <w:vAlign w:val="bottom"/>
          </w:tcPr>
          <w:p>
            <w:pPr>
              <w:spacing w:after="0"/>
              <w:rPr>
                <w:sz w:val="19"/>
                <w:szCs w:val="19"/>
                <w:color w:val="auto"/>
              </w:rPr>
            </w:pPr>
          </w:p>
        </w:tc>
        <w:tc>
          <w:tcPr>
            <w:tcW w:w="2720" w:type="dxa"/>
            <w:vAlign w:val="bottom"/>
            <w:gridSpan w:val="4"/>
          </w:tcPr>
          <w:p>
            <w:pPr>
              <w:jc w:val="right"/>
              <w:ind w:right="51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64"/>
        </w:trPr>
        <w:tc>
          <w:tcPr>
            <w:tcW w:w="50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 xml:space="preserve">Unaudited ($ in millions) </w:t>
            </w:r>
            <w:r>
              <w:rPr>
                <w:rFonts w:ascii="Calibri" w:cs="Calibri" w:eastAsia="Calibri" w:hAnsi="Calibri"/>
                <w:sz w:val="23"/>
                <w:szCs w:val="23"/>
                <w:b w:val="1"/>
                <w:bCs w:val="1"/>
                <w:color w:val="auto"/>
                <w:vertAlign w:val="superscript"/>
              </w:rPr>
              <w:t>(1)</w:t>
            </w: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2024</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2023</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sales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w:t>
            </w: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231F20"/>
              </w:rPr>
              <w:t>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231F20"/>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334.3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398.0</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Gross proft</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w:t>
            </w: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231F20"/>
              </w:rPr>
              <w:t>52.3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231F20"/>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182.3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231F20"/>
                <w:w w:val="87"/>
              </w:rPr>
              <w:t>$</w:t>
            </w: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231F20"/>
              </w:rPr>
              <w:t>155.1</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Calibri" w:cs="Calibri" w:eastAsia="Calibri" w:hAnsi="Calibri"/>
                <w:sz w:val="18"/>
                <w:szCs w:val="18"/>
                <w:color w:val="auto"/>
              </w:rPr>
              <w:t>Gross margin</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8"/>
                <w:szCs w:val="18"/>
                <w:color w:val="auto"/>
              </w:rPr>
              <w:t>62.7 %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47.2 %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54.5 %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39.0 %</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80"/>
              <w:spacing w:after="0"/>
              <w:rPr>
                <w:sz w:val="20"/>
                <w:szCs w:val="20"/>
                <w:color w:val="auto"/>
              </w:rPr>
            </w:pPr>
            <w:r>
              <w:rPr>
                <w:rFonts w:ascii="Calibri" w:cs="Calibri" w:eastAsia="Calibri" w:hAnsi="Calibri"/>
                <w:sz w:val="18"/>
                <w:szCs w:val="18"/>
                <w:color w:val="auto"/>
              </w:rPr>
              <w:t>Adjusted to exclude the following: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Depreciaton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Amortzaton expense</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Calibri" w:cs="Calibri" w:eastAsia="Calibri" w:hAnsi="Calibri"/>
                <w:sz w:val="18"/>
                <w:szCs w:val="18"/>
                <w:color w:val="auto"/>
              </w:rPr>
              <w:t>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13.9</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Share-based compensaton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00"/>
              <w:spacing w:after="0"/>
              <w:rPr>
                <w:sz w:val="20"/>
                <w:szCs w:val="20"/>
                <w:color w:val="auto"/>
              </w:rPr>
            </w:pPr>
            <w:r>
              <w:rPr>
                <w:rFonts w:ascii="Calibri" w:cs="Calibri" w:eastAsia="Calibri" w:hAnsi="Calibri"/>
                <w:sz w:val="18"/>
                <w:szCs w:val="18"/>
                <w:color w:val="auto"/>
              </w:rPr>
              <w:t>Manufacturing optmizaton costs</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Write-of of discontnued, excess and obsolete product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10.4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00"/>
              <w:spacing w:after="0"/>
              <w:rPr>
                <w:sz w:val="20"/>
                <w:szCs w:val="20"/>
                <w:color w:val="auto"/>
              </w:rPr>
            </w:pPr>
            <w:r>
              <w:rPr>
                <w:rFonts w:ascii="Calibri" w:cs="Calibri" w:eastAsia="Calibri" w:hAnsi="Calibri"/>
                <w:sz w:val="18"/>
                <w:szCs w:val="18"/>
                <w:color w:val="auto"/>
              </w:rPr>
              <w:t>Syndeo Program</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65.2</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Syndeo product optmizaton logistcs &amp; service costs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00"/>
              <w:spacing w:after="0"/>
              <w:rPr>
                <w:sz w:val="20"/>
                <w:szCs w:val="20"/>
                <w:color w:val="auto"/>
              </w:rPr>
            </w:pPr>
            <w:r>
              <w:rPr>
                <w:rFonts w:ascii="Calibri" w:cs="Calibri" w:eastAsia="Calibri" w:hAnsi="Calibri"/>
                <w:sz w:val="18"/>
                <w:szCs w:val="18"/>
                <w:color w:val="auto"/>
              </w:rPr>
              <w:t>Go-to-Market restructuring</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Calibri" w:cs="Calibri" w:eastAsia="Calibri" w:hAnsi="Calibri"/>
                <w:sz w:val="18"/>
                <w:szCs w:val="18"/>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64"/>
        </w:trPr>
        <w:tc>
          <w:tcPr>
            <w:tcW w:w="5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04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8"/>
                <w:szCs w:val="18"/>
                <w:color w:val="auto"/>
              </w:rPr>
              <w:t>Adjusted gross proft</w:t>
            </w:r>
          </w:p>
        </w:tc>
        <w:tc>
          <w:tcPr>
            <w:tcW w:w="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CCEEFF"/>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56.0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EFF"/>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CEEFF"/>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207.2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CEEFF"/>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249.8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40" w:type="dxa"/>
            <w:vAlign w:val="bottom"/>
          </w:tcPr>
          <w:p>
            <w:pPr>
              <w:ind w:left="180"/>
              <w:spacing w:after="0" w:line="194" w:lineRule="exact"/>
              <w:rPr>
                <w:sz w:val="20"/>
                <w:szCs w:val="20"/>
                <w:color w:val="auto"/>
              </w:rPr>
            </w:pPr>
            <w:r>
              <w:rPr>
                <w:rFonts w:ascii="Calibri" w:cs="Calibri" w:eastAsia="Calibri" w:hAnsi="Calibri"/>
                <w:sz w:val="18"/>
                <w:szCs w:val="18"/>
                <w:color w:val="auto"/>
              </w:rPr>
              <w:t>Adjusted gross margin</w:t>
            </w:r>
          </w:p>
        </w:tc>
        <w:tc>
          <w:tcPr>
            <w:tcW w:w="18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Calibri" w:cs="Calibri" w:eastAsia="Calibri" w:hAnsi="Calibri"/>
                <w:sz w:val="18"/>
                <w:szCs w:val="18"/>
                <w:color w:val="auto"/>
              </w:rPr>
              <w:t>67.1 %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Calibri" w:cs="Calibri" w:eastAsia="Calibri" w:hAnsi="Calibri"/>
                <w:sz w:val="18"/>
                <w:szCs w:val="18"/>
                <w:color w:val="auto"/>
              </w:rPr>
              <w:t>54.6 %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Calibri" w:cs="Calibri" w:eastAsia="Calibri" w:hAnsi="Calibri"/>
                <w:sz w:val="18"/>
                <w:szCs w:val="18"/>
                <w:color w:val="auto"/>
              </w:rPr>
              <w:t>62.0 %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Calibri" w:cs="Calibri" w:eastAsia="Calibri" w:hAnsi="Calibri"/>
                <w:sz w:val="18"/>
                <w:szCs w:val="18"/>
                <w:color w:val="auto"/>
              </w:rPr>
              <w:t>62.8 %</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6"/>
          <w:szCs w:val="16"/>
          <w:color w:val="auto"/>
        </w:rPr>
        <w:t>(1)</w:t>
        <w:tab/>
        <w:t>Amounts may not sum due to rounding.</w:t>
      </w:r>
    </w:p>
    <w:p>
      <w:pPr>
        <w:sectPr>
          <w:pgSz w:w="11900" w:h="16838" w:orient="portrait"/>
          <w:cols w:equalWidth="0" w:num="1">
            <w:col w:w="11240"/>
          </w:cols>
          <w:pgMar w:left="320" w:top="1192" w:right="339" w:bottom="9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1240"/>
          </w:cols>
          <w:pgMar w:left="320" w:top="1192" w:right="339" w:bottom="941" w:gutter="0" w:footer="0" w:header="0"/>
          <w:type w:val="continuous"/>
        </w:sectPr>
      </w:pPr>
    </w:p>
    <w:bookmarkStart w:id="10" w:name="page11"/>
    <w:bookmarkEnd w:id="10"/>
    <w:p>
      <w:pPr>
        <w:spacing w:after="0"/>
        <w:rPr>
          <w:sz w:val="20"/>
          <w:szCs w:val="20"/>
          <w:color w:val="auto"/>
        </w:rPr>
      </w:pPr>
      <w:r>
        <w:rPr>
          <w:rFonts w:ascii="Calibri" w:cs="Calibri" w:eastAsia="Calibri" w:hAnsi="Calibri"/>
          <w:sz w:val="20"/>
          <w:szCs w:val="20"/>
          <w:color w:val="auto"/>
        </w:rPr>
        <w:t>The following table reconciles net loss to adjusted EBITDA for the periods presented: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gridSpan w:val="4"/>
          </w:tcPr>
          <w:p>
            <w:pPr>
              <w:jc w:val="right"/>
              <w:ind w:right="150"/>
              <w:spacing w:after="0"/>
              <w:rPr>
                <w:sz w:val="20"/>
                <w:szCs w:val="20"/>
                <w:color w:val="auto"/>
              </w:rPr>
            </w:pPr>
            <w:r>
              <w:rPr>
                <w:rFonts w:ascii="Calibri" w:cs="Calibri" w:eastAsia="Calibri" w:hAnsi="Calibri"/>
                <w:sz w:val="18"/>
                <w:szCs w:val="18"/>
                <w:b w:val="1"/>
                <w:bCs w:val="1"/>
                <w:color w:val="auto"/>
                <w:w w:val="98"/>
              </w:rPr>
              <w:t>Three Months Ended December 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51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64"/>
        </w:trPr>
        <w:tc>
          <w:tcPr>
            <w:tcW w:w="50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 xml:space="preserve">Unaudited ($ in millions) </w:t>
            </w:r>
            <w:r>
              <w:rPr>
                <w:rFonts w:ascii="Calibri" w:cs="Calibri" w:eastAsia="Calibri" w:hAnsi="Calibri"/>
                <w:sz w:val="23"/>
                <w:szCs w:val="23"/>
                <w:b w:val="1"/>
                <w:bCs w:val="1"/>
                <w:color w:val="auto"/>
                <w:vertAlign w:val="superscript"/>
              </w:rPr>
              <w:t>(1)</w:t>
            </w: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5040" w:type="dxa"/>
            <w:vAlign w:val="bottom"/>
            <w:tcBorders>
              <w:bottom w:val="single" w:sz="8" w:color="CFF0FC"/>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2024</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line="215" w:lineRule="exact"/>
              <w:rPr>
                <w:sz w:val="20"/>
                <w:szCs w:val="20"/>
                <w:color w:val="auto"/>
              </w:rPr>
            </w:pPr>
            <w:r>
              <w:rPr>
                <w:rFonts w:ascii="Calibri" w:cs="Calibri" w:eastAsia="Calibri" w:hAnsi="Calibri"/>
                <w:sz w:val="18"/>
                <w:szCs w:val="18"/>
                <w:b w:val="1"/>
                <w:bCs w:val="1"/>
                <w:color w:val="231F20"/>
              </w:rPr>
              <w:t>2023</w:t>
            </w:r>
          </w:p>
        </w:tc>
        <w:tc>
          <w:tcPr>
            <w:tcW w:w="0" w:type="dxa"/>
            <w:vAlign w:val="bottom"/>
          </w:tcPr>
          <w:p>
            <w:pPr>
              <w:spacing w:after="0"/>
              <w:rPr>
                <w:sz w:val="1"/>
                <w:szCs w:val="1"/>
                <w:color w:val="auto"/>
              </w:rPr>
            </w:pPr>
          </w:p>
        </w:tc>
      </w:tr>
      <w:tr>
        <w:trPr>
          <w:trHeight w:val="219"/>
        </w:trPr>
        <w:tc>
          <w:tcPr>
            <w:tcW w:w="5040" w:type="dxa"/>
            <w:vAlign w:val="bottom"/>
            <w:shd w:val="clear" w:color="auto" w:fill="CFF0FC"/>
          </w:tcPr>
          <w:p>
            <w:pPr>
              <w:ind w:left="80"/>
              <w:spacing w:after="0"/>
              <w:rPr>
                <w:sz w:val="20"/>
                <w:szCs w:val="20"/>
                <w:color w:val="auto"/>
              </w:rPr>
            </w:pPr>
            <w:r>
              <w:rPr>
                <w:rFonts w:ascii="Calibri" w:cs="Calibri" w:eastAsia="Calibri" w:hAnsi="Calibri"/>
                <w:sz w:val="18"/>
                <w:szCs w:val="18"/>
                <w:color w:val="auto"/>
              </w:rPr>
              <w:t>Net sales</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Calibri" w:cs="Calibri" w:eastAsia="Calibri" w:hAnsi="Calibri"/>
                <w:sz w:val="18"/>
                <w:szCs w:val="18"/>
                <w:color w:val="auto"/>
              </w:rPr>
              <w:t>83.5</w:t>
            </w:r>
          </w:p>
        </w:tc>
        <w:tc>
          <w:tcPr>
            <w:tcW w:w="80" w:type="dxa"/>
            <w:vAlign w:val="bottom"/>
            <w:shd w:val="clear" w:color="auto" w:fill="CCEEFF"/>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Calibri" w:cs="Calibri" w:eastAsia="Calibri" w:hAnsi="Calibri"/>
                <w:sz w:val="18"/>
                <w:szCs w:val="18"/>
                <w:color w:val="auto"/>
              </w:rPr>
              <w:t>96.8</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FF0FC"/>
          </w:tcPr>
          <w:p>
            <w:pPr>
              <w:jc w:val="right"/>
              <w:ind w:right="90"/>
              <w:spacing w:after="0"/>
              <w:rPr>
                <w:sz w:val="20"/>
                <w:szCs w:val="20"/>
                <w:color w:val="auto"/>
              </w:rPr>
            </w:pPr>
            <w:r>
              <w:rPr>
                <w:rFonts w:ascii="Calibri" w:cs="Calibri" w:eastAsia="Calibri" w:hAnsi="Calibri"/>
                <w:sz w:val="18"/>
                <w:szCs w:val="18"/>
                <w:color w:val="auto"/>
              </w:rPr>
              <w:t>334.3</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FF0FC"/>
          </w:tcPr>
          <w:p>
            <w:pPr>
              <w:jc w:val="right"/>
              <w:ind w:right="90"/>
              <w:spacing w:after="0"/>
              <w:rPr>
                <w:sz w:val="20"/>
                <w:szCs w:val="20"/>
                <w:color w:val="auto"/>
              </w:rPr>
            </w:pPr>
            <w:r>
              <w:rPr>
                <w:rFonts w:ascii="Calibri" w:cs="Calibri" w:eastAsia="Calibri" w:hAnsi="Calibri"/>
                <w:sz w:val="18"/>
                <w:szCs w:val="18"/>
                <w:color w:val="auto"/>
              </w:rPr>
              <w:t>398.0</w:t>
            </w:r>
          </w:p>
        </w:tc>
        <w:tc>
          <w:tcPr>
            <w:tcW w:w="0" w:type="dxa"/>
            <w:vAlign w:val="bottom"/>
          </w:tcPr>
          <w:p>
            <w:pPr>
              <w:spacing w:after="0"/>
              <w:rPr>
                <w:sz w:val="1"/>
                <w:szCs w:val="1"/>
                <w:color w:val="auto"/>
              </w:rPr>
            </w:pPr>
          </w:p>
        </w:tc>
      </w:tr>
      <w:tr>
        <w:trPr>
          <w:trHeight w:val="64"/>
        </w:trPr>
        <w:tc>
          <w:tcPr>
            <w:tcW w:w="504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300" w:type="dxa"/>
            <w:vAlign w:val="bottom"/>
            <w:shd w:val="clear" w:color="auto" w:fill="CFF0FC"/>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FF0FC"/>
          </w:tcPr>
          <w:p>
            <w:pPr>
              <w:ind w:left="80"/>
              <w:spacing w:after="0"/>
              <w:rPr>
                <w:sz w:val="20"/>
                <w:szCs w:val="20"/>
                <w:color w:val="auto"/>
              </w:rPr>
            </w:pPr>
            <w:r>
              <w:rPr>
                <w:rFonts w:ascii="Calibri" w:cs="Calibri" w:eastAsia="Calibri" w:hAnsi="Calibri"/>
                <w:sz w:val="18"/>
                <w:szCs w:val="18"/>
                <w:color w:val="auto"/>
              </w:rPr>
              <w:t>Net loss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231F20"/>
              </w:rPr>
              <w:t>$</w:t>
            </w:r>
          </w:p>
        </w:tc>
        <w:tc>
          <w:tcPr>
            <w:tcW w:w="1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231F20"/>
              </w:rPr>
              <w:t>(10.3)</w:t>
            </w:r>
          </w:p>
        </w:tc>
        <w:tc>
          <w:tcPr>
            <w:tcW w:w="420" w:type="dxa"/>
            <w:vAlign w:val="bottom"/>
            <w:gridSpan w:val="2"/>
            <w:shd w:val="clear" w:color="auto" w:fill="CCEEFF"/>
          </w:tcPr>
          <w:p>
            <w:pPr>
              <w:jc w:val="right"/>
              <w:ind w:right="130"/>
              <w:spacing w:after="0"/>
              <w:rPr>
                <w:sz w:val="20"/>
                <w:szCs w:val="20"/>
                <w:color w:val="auto"/>
              </w:rPr>
            </w:pPr>
            <w:r>
              <w:rPr>
                <w:rFonts w:ascii="Calibri" w:cs="Calibri" w:eastAsia="Calibri" w:hAnsi="Calibri"/>
                <w:sz w:val="18"/>
                <w:szCs w:val="18"/>
                <w:color w:val="231F20"/>
              </w:rPr>
              <w:t>$</w:t>
            </w: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231F20"/>
              </w:rPr>
              <w:t>(9.4)</w:t>
            </w:r>
          </w:p>
        </w:tc>
        <w:tc>
          <w:tcPr>
            <w:tcW w:w="440" w:type="dxa"/>
            <w:vAlign w:val="bottom"/>
            <w:gridSpan w:val="2"/>
            <w:shd w:val="clear" w:color="auto" w:fill="CCEEFF"/>
          </w:tcPr>
          <w:p>
            <w:pPr>
              <w:jc w:val="right"/>
              <w:ind w:right="150"/>
              <w:spacing w:after="0"/>
              <w:rPr>
                <w:sz w:val="20"/>
                <w:szCs w:val="20"/>
                <w:color w:val="auto"/>
              </w:rPr>
            </w:pPr>
            <w:r>
              <w:rPr>
                <w:rFonts w:ascii="Calibri" w:cs="Calibri" w:eastAsia="Calibri" w:hAnsi="Calibri"/>
                <w:sz w:val="18"/>
                <w:szCs w:val="18"/>
                <w:color w:val="231F20"/>
              </w:rPr>
              <w:t>$</w:t>
            </w: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231F20"/>
              </w:rPr>
              <w:t>(29.1)</w:t>
            </w:r>
          </w:p>
        </w:tc>
        <w:tc>
          <w:tcPr>
            <w:tcW w:w="440" w:type="dxa"/>
            <w:vAlign w:val="bottom"/>
            <w:gridSpan w:val="2"/>
            <w:shd w:val="clear" w:color="auto" w:fill="CCEEFF"/>
          </w:tcPr>
          <w:p>
            <w:pPr>
              <w:jc w:val="right"/>
              <w:ind w:right="150"/>
              <w:spacing w:after="0"/>
              <w:rPr>
                <w:sz w:val="20"/>
                <w:szCs w:val="20"/>
                <w:color w:val="auto"/>
              </w:rPr>
            </w:pPr>
            <w:r>
              <w:rPr>
                <w:rFonts w:ascii="Calibri" w:cs="Calibri" w:eastAsia="Calibri" w:hAnsi="Calibri"/>
                <w:sz w:val="18"/>
                <w:szCs w:val="18"/>
                <w:color w:val="231F20"/>
              </w:rPr>
              <w:t>$</w:t>
            </w: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231F20"/>
              </w:rPr>
              <w:t>(100.1)</w:t>
            </w:r>
          </w:p>
        </w:tc>
        <w:tc>
          <w:tcPr>
            <w:tcW w:w="0" w:type="dxa"/>
            <w:vAlign w:val="bottom"/>
          </w:tcPr>
          <w:p>
            <w:pPr>
              <w:spacing w:after="0"/>
              <w:rPr>
                <w:sz w:val="1"/>
                <w:szCs w:val="1"/>
                <w:color w:val="auto"/>
              </w:rPr>
            </w:pPr>
          </w:p>
        </w:tc>
      </w:tr>
      <w:tr>
        <w:trPr>
          <w:trHeight w:val="64"/>
        </w:trPr>
        <w:tc>
          <w:tcPr>
            <w:tcW w:w="5040" w:type="dxa"/>
            <w:vAlign w:val="bottom"/>
            <w:shd w:val="clear" w:color="auto" w:fill="CFF0FC"/>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Calibri" w:cs="Calibri" w:eastAsia="Calibri" w:hAnsi="Calibri"/>
                <w:sz w:val="18"/>
                <w:szCs w:val="18"/>
                <w:color w:val="auto"/>
              </w:rPr>
              <w:t>Adjusted to exclude the following: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(Beneft) expense for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Depreciaton expense</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Calibri" w:cs="Calibri" w:eastAsia="Calibri" w:hAnsi="Calibri"/>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Amortzaton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23.3</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00"/>
              <w:spacing w:after="0"/>
              <w:rPr>
                <w:sz w:val="20"/>
                <w:szCs w:val="20"/>
                <w:color w:val="auto"/>
              </w:rPr>
            </w:pPr>
            <w:r>
              <w:rPr>
                <w:rFonts w:ascii="Calibri" w:cs="Calibri" w:eastAsia="Calibri" w:hAnsi="Calibri"/>
                <w:sz w:val="18"/>
                <w:szCs w:val="18"/>
                <w:color w:val="auto"/>
              </w:rPr>
              <w:t>Share-based compensaton expense</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Calibri" w:cs="Calibri" w:eastAsia="Calibri" w:hAnsi="Calibri"/>
                <w:sz w:val="18"/>
                <w:szCs w:val="18"/>
                <w:color w:val="auto"/>
              </w:rPr>
              <w:t>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22.5</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Interest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13.6</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Interest income</w:t>
            </w:r>
          </w:p>
        </w:tc>
        <w:tc>
          <w:tcPr>
            <w:tcW w:w="1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Calibri" w:cs="Calibri" w:eastAsia="Calibri" w:hAnsi="Calibri"/>
                <w:sz w:val="18"/>
                <w:szCs w:val="18"/>
                <w:color w:val="auto"/>
              </w:rPr>
              <w:t>(2.2)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(23.2)</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rPr>
              <w:t>(0.1)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(5.2)</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Change in fair value of warrant liabilites</w:t>
            </w:r>
          </w:p>
        </w:tc>
        <w:tc>
          <w:tcPr>
            <w:tcW w:w="1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Calibri" w:cs="Calibri" w:eastAsia="Calibri" w:hAnsi="Calibri"/>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Calibri" w:cs="Calibri" w:eastAsia="Calibri" w:hAnsi="Calibri"/>
                <w:sz w:val="18"/>
                <w:szCs w:val="18"/>
                <w:color w:val="auto"/>
              </w:rPr>
              <w:t>(11.9)</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Foreign currency loss (gain),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Calibri" w:cs="Calibri" w:eastAsia="Calibri" w:hAnsi="Calibri"/>
                <w:sz w:val="18"/>
                <w:szCs w:val="18"/>
                <w:color w:val="auto"/>
              </w:rPr>
              <w:t>(2.4)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00"/>
              <w:spacing w:after="0"/>
              <w:rPr>
                <w:sz w:val="20"/>
                <w:szCs w:val="20"/>
                <w:color w:val="auto"/>
              </w:rPr>
            </w:pPr>
            <w:r>
              <w:rPr>
                <w:rFonts w:ascii="Calibri" w:cs="Calibri" w:eastAsia="Calibri" w:hAnsi="Calibri"/>
                <w:sz w:val="18"/>
                <w:szCs w:val="18"/>
                <w:color w:val="auto"/>
              </w:rPr>
              <w:t>Manufacturing optmizaton costs</w:t>
            </w:r>
          </w:p>
        </w:tc>
        <w:tc>
          <w:tcPr>
            <w:tcW w:w="1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Write-of of discontnued, excess and obsolete product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10.4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Syndeo Program</w:t>
            </w:r>
          </w:p>
        </w:tc>
        <w:tc>
          <w:tcPr>
            <w:tcW w:w="1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65.2</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Syndeo product optmizaton logistcs &amp; service costs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Go-to-Market restructuring</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Calibri" w:cs="Calibri" w:eastAsia="Calibri" w:hAnsi="Calibri"/>
                <w:sz w:val="18"/>
                <w:szCs w:val="18"/>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Litgaton related costs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00"/>
              <w:spacing w:after="0"/>
              <w:rPr>
                <w:sz w:val="20"/>
                <w:szCs w:val="20"/>
                <w:color w:val="auto"/>
              </w:rPr>
            </w:pPr>
            <w:r>
              <w:rPr>
                <w:rFonts w:ascii="Calibri" w:cs="Calibri" w:eastAsia="Calibri" w:hAnsi="Calibri"/>
                <w:sz w:val="18"/>
                <w:szCs w:val="18"/>
                <w:color w:val="auto"/>
              </w:rPr>
              <w:t>Transacton related costs</w:t>
            </w:r>
          </w:p>
        </w:tc>
        <w:tc>
          <w:tcPr>
            <w:tcW w:w="1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Calibri" w:cs="Calibri" w:eastAsia="Calibri" w:hAnsi="Calibri"/>
                <w:sz w:val="18"/>
                <w:szCs w:val="18"/>
                <w:color w:val="auto"/>
              </w:rPr>
              <w:t>0.8</w:t>
            </w: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00"/>
              <w:spacing w:after="0"/>
              <w:rPr>
                <w:sz w:val="20"/>
                <w:szCs w:val="20"/>
                <w:color w:val="auto"/>
              </w:rPr>
            </w:pPr>
            <w:r>
              <w:rPr>
                <w:rFonts w:ascii="Calibri" w:cs="Calibri" w:eastAsia="Calibri" w:hAnsi="Calibri"/>
                <w:sz w:val="18"/>
                <w:szCs w:val="18"/>
                <w:color w:val="auto"/>
              </w:rPr>
              <w:t>Severance, restructuring and 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18.7</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5040" w:type="dxa"/>
            <w:vAlign w:val="bottom"/>
          </w:tcPr>
          <w:p>
            <w:pPr>
              <w:ind w:left="180"/>
              <w:spacing w:after="0"/>
              <w:rPr>
                <w:sz w:val="20"/>
                <w:szCs w:val="20"/>
                <w:color w:val="auto"/>
              </w:rPr>
            </w:pPr>
            <w:r>
              <w:rPr>
                <w:rFonts w:ascii="Calibri" w:cs="Calibri" w:eastAsia="Calibri" w:hAnsi="Calibri"/>
                <w:sz w:val="18"/>
                <w:szCs w:val="18"/>
                <w:color w:val="auto"/>
              </w:rPr>
              <w:t>Adjusted EBITDA</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9.0</w:t>
            </w:r>
          </w:p>
        </w:tc>
        <w:tc>
          <w:tcPr>
            <w:tcW w:w="4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3.4</w:t>
            </w:r>
          </w:p>
        </w:tc>
        <w:tc>
          <w:tcPr>
            <w:tcW w:w="44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12.3</w:t>
            </w:r>
          </w:p>
        </w:tc>
        <w:tc>
          <w:tcPr>
            <w:tcW w:w="44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24.3</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shd w:val="clear" w:color="auto" w:fill="CCEEFF"/>
          </w:tcPr>
          <w:p>
            <w:pPr>
              <w:ind w:left="180"/>
              <w:spacing w:after="0" w:line="214" w:lineRule="exact"/>
              <w:rPr>
                <w:sz w:val="20"/>
                <w:szCs w:val="20"/>
                <w:color w:val="auto"/>
              </w:rPr>
            </w:pPr>
            <w:r>
              <w:rPr>
                <w:rFonts w:ascii="Calibri" w:cs="Calibri" w:eastAsia="Calibri" w:hAnsi="Calibri"/>
                <w:sz w:val="18"/>
                <w:szCs w:val="18"/>
                <w:color w:val="auto"/>
              </w:rPr>
              <w:t>Adjusted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Calibri" w:cs="Calibri" w:eastAsia="Calibri" w:hAnsi="Calibri"/>
                <w:sz w:val="18"/>
                <w:szCs w:val="18"/>
                <w:color w:val="auto"/>
              </w:rPr>
              <w:t>10.8 %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4" w:lineRule="exact"/>
              <w:rPr>
                <w:sz w:val="20"/>
                <w:szCs w:val="20"/>
                <w:color w:val="auto"/>
              </w:rPr>
            </w:pPr>
            <w:r>
              <w:rPr>
                <w:rFonts w:ascii="Calibri" w:cs="Calibri" w:eastAsia="Calibri" w:hAnsi="Calibri"/>
                <w:sz w:val="18"/>
                <w:szCs w:val="18"/>
                <w:color w:val="auto"/>
              </w:rPr>
              <w:t>3.5 %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4" w:lineRule="exact"/>
              <w:rPr>
                <w:sz w:val="20"/>
                <w:szCs w:val="20"/>
                <w:color w:val="auto"/>
              </w:rPr>
            </w:pPr>
            <w:r>
              <w:rPr>
                <w:rFonts w:ascii="Calibri" w:cs="Calibri" w:eastAsia="Calibri" w:hAnsi="Calibri"/>
                <w:sz w:val="18"/>
                <w:szCs w:val="18"/>
                <w:color w:val="auto"/>
              </w:rPr>
              <w:t>3.7 %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214" w:lineRule="exact"/>
              <w:rPr>
                <w:sz w:val="20"/>
                <w:szCs w:val="20"/>
                <w:color w:val="auto"/>
              </w:rPr>
            </w:pPr>
            <w:r>
              <w:rPr>
                <w:rFonts w:ascii="Calibri" w:cs="Calibri" w:eastAsia="Calibri" w:hAnsi="Calibri"/>
                <w:sz w:val="18"/>
                <w:szCs w:val="18"/>
                <w:color w:val="auto"/>
              </w:rPr>
              <w:t>6.1 %</w:t>
            </w:r>
          </w:p>
        </w:tc>
        <w:tc>
          <w:tcPr>
            <w:tcW w:w="0" w:type="dxa"/>
            <w:vAlign w:val="bottom"/>
          </w:tcPr>
          <w:p>
            <w:pPr>
              <w:spacing w:after="0"/>
              <w:rPr>
                <w:sz w:val="1"/>
                <w:szCs w:val="1"/>
                <w:color w:val="auto"/>
              </w:rPr>
            </w:pPr>
          </w:p>
        </w:tc>
      </w:tr>
      <w:tr>
        <w:trPr>
          <w:trHeight w:val="64"/>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color w:val="auto"/>
        </w:rPr>
        <w:t>__________________________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6"/>
          <w:szCs w:val="16"/>
          <w:color w:val="auto"/>
        </w:rPr>
        <w:t>(1)</w:t>
        <w:tab/>
        <w:t>Amounts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185" w:right="339" w:bottom="1440" w:gutter="0" w:footer="0" w:header="0"/>
        </w:sectPr>
      </w:pPr>
    </w:p>
    <w:bookmarkStart w:id="11" w:name="page12"/>
    <w:bookmarkEnd w:id="11"/>
    <w:p>
      <w:pPr>
        <w:spacing w:after="0"/>
        <w:rPr>
          <w:sz w:val="20"/>
          <w:szCs w:val="20"/>
          <w:color w:val="auto"/>
        </w:rPr>
      </w:pPr>
      <w:r>
        <w:rPr>
          <w:rFonts w:ascii="Calibri" w:cs="Calibri" w:eastAsia="Calibri" w:hAnsi="Calibri"/>
          <w:sz w:val="20"/>
          <w:szCs w:val="20"/>
          <w:b w:val="1"/>
          <w:bCs w:val="1"/>
          <w:color w:val="auto"/>
        </w:rPr>
        <w:t>About The Beauty Health Company</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Beauty Health Company (NASDAQ: SKIN) is a medtech meets beauty company delivering millions of skin health experiences every</w:t>
      </w:r>
    </w:p>
    <w:p>
      <w:pPr>
        <w:spacing w:after="0" w:line="22" w:lineRule="exact"/>
        <w:rPr>
          <w:sz w:val="20"/>
          <w:szCs w:val="20"/>
          <w:color w:val="auto"/>
        </w:rPr>
      </w:pPr>
    </w:p>
    <w:p>
      <w:pPr>
        <w:ind w:right="160"/>
        <w:spacing w:after="0" w:line="239" w:lineRule="auto"/>
        <w:rPr>
          <w:sz w:val="20"/>
          <w:szCs w:val="20"/>
          <w:color w:val="auto"/>
        </w:rPr>
      </w:pPr>
      <w:r>
        <w:rPr>
          <w:rFonts w:ascii="Calibri" w:cs="Calibri" w:eastAsia="Calibri" w:hAnsi="Calibri"/>
          <w:sz w:val="20"/>
          <w:szCs w:val="20"/>
          <w:color w:val="auto"/>
        </w:rPr>
        <w:t>year that help consumers reinvent their relatonship with their skin, bodies, and self-confdence. Our brands are pioneers: Hydrafacial™ in hydradermabrasion, SkinStylus™ in nanoneedling and microneedling, and Keravive™ in scalp health. Together, with our powerful global community of esthetcians, partners, and consumers, we are personalizing skin health for all ages, genders, skin tones, and skin types. We are commited to being ever more mindful in how we conduct our business to positvely impact our communites and the planet. Find a local provider at htps://hydrafacial.com/fnd-a-provider/, and learn more at beautyhealth.com or LinkedIn.</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130"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Certain statements made in this release are “forward looking statements” within the meaning of the “safe harbor” provisions of the United States Private Securites Litgaton Reform Act of 1995, including statements regarding The Beauty Health Company’s strategy, plans, objectves, initatves and fnancial outlook. When used in this press release, the words “estmates,” “projected,” “expects,” “antcipates,” “forecasts,” “plans,” “intends,” “believes,” “seeks,” “may,” “will,” “should,” “future,” “propose” and variatons of these words or similar expressions (or the negatve versions of such words or expressions) are intended to identfy forward-looking statements.</w:t>
      </w:r>
    </w:p>
    <w:p>
      <w:pPr>
        <w:spacing w:after="0" w:line="256"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These forward-looking statements are not guarantees of future performance, conditons or results, and involve a number of known and unknown risks, uncertaintes, assumptons and other important factors, many of which are outside The Beauty Health Company’s control, that could cause actual results or outcomes to difer materially from those discussed in the forward-looking statements. As such, readers are cautoned not to place undue reliance on any forward-looking statements.</w:t>
      </w:r>
    </w:p>
    <w:p>
      <w:pPr>
        <w:spacing w:after="0" w:line="265" w:lineRule="exact"/>
        <w:rPr>
          <w:sz w:val="20"/>
          <w:szCs w:val="20"/>
          <w:color w:val="auto"/>
        </w:rPr>
      </w:pPr>
    </w:p>
    <w:p>
      <w:pPr>
        <w:ind w:right="60"/>
        <w:spacing w:after="0" w:line="242" w:lineRule="auto"/>
        <w:rPr>
          <w:sz w:val="20"/>
          <w:szCs w:val="20"/>
          <w:color w:val="auto"/>
        </w:rPr>
      </w:pPr>
      <w:r>
        <w:rPr>
          <w:rFonts w:ascii="Calibri" w:cs="Calibri" w:eastAsia="Calibri" w:hAnsi="Calibri"/>
          <w:sz w:val="20"/>
          <w:szCs w:val="20"/>
          <w:color w:val="auto"/>
        </w:rPr>
        <w:t>Important factors that may afect actual results or outcomes include, among others: The Beauty Health Company’s ability to manage growth; The Beauty Health Company’s ability to execute its business plan; potental litgaton involving The Beauty Health Company; changes in applicable laws or regulatons; the possibility that The Beauty Health Company may be adversely afected by other economic, business, and/or compettve factors; and other risks and uncertaintes set forth in the sectons enttled “Risk Factors” and “Cautonary Note Regarding Forward-Looking Statements” in the Company’s Annual Report on Form 10-K for the year ended December 31, 2024 fled with the U.S. Securites and Exchange Commission (the “SEC”) and in the Company’s subsequent flings with the SEC. There may be additonal risks that the Company does not presently know of or that the Company currently believes are immaterial that could also cause actual results to difer from those contained in the forward-looking statements. The Beauty Health Company does not undertake any obligaton to update or revise any forward-looking statements, whether as a result of new informaton, future events, or otherwise, except as required by law.</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38" w:lineRule="auto"/>
        <w:rPr>
          <w:sz w:val="20"/>
          <w:szCs w:val="20"/>
          <w:color w:val="auto"/>
        </w:rPr>
      </w:pPr>
      <w:r>
        <w:rPr>
          <w:rFonts w:ascii="Calibri" w:cs="Calibri" w:eastAsia="Calibri" w:hAnsi="Calibri"/>
          <w:sz w:val="20"/>
          <w:szCs w:val="20"/>
          <w:color w:val="auto"/>
        </w:rPr>
        <w:t>Investors: IR@beautyhealth.com</w:t>
      </w:r>
    </w:p>
    <w:p>
      <w:pPr>
        <w:spacing w:after="0" w:line="67" w:lineRule="exact"/>
        <w:rPr>
          <w:sz w:val="20"/>
          <w:szCs w:val="20"/>
          <w:color w:val="auto"/>
        </w:rPr>
      </w:pPr>
    </w:p>
    <w:p>
      <w:pPr>
        <w:spacing w:after="0"/>
        <w:rPr>
          <w:sz w:val="20"/>
          <w:szCs w:val="20"/>
          <w:color w:val="auto"/>
        </w:rPr>
      </w:pPr>
      <w:r>
        <w:rPr>
          <w:rFonts w:ascii="Calibri" w:cs="Calibri" w:eastAsia="Calibri" w:hAnsi="Calibri"/>
          <w:sz w:val="20"/>
          <w:szCs w:val="20"/>
          <w:color w:val="auto"/>
        </w:rPr>
        <w:t>Press: Press@beautyhealth.com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sectPr>
      <w:pgSz w:w="11900" w:h="16838" w:orient="portrait"/>
      <w:cols w:equalWidth="0" w:num="1">
        <w:col w:w="11240"/>
      </w:cols>
      <w:pgMar w:left="320" w:top="11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2025-03-12T15:36:27Z</dcterms:created>
  <dcterms:modified xsi:type="dcterms:W3CDTF">2025-03-12T15:36:27Z</dcterms:modified>
</cp:coreProperties>
</file>